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3E91" w14:textId="77777777" w:rsidR="00BF4457" w:rsidRDefault="00BF4457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p w14:paraId="41D2BCC5" w14:textId="7A25D730" w:rsidR="00BF4457" w:rsidRDefault="00BF4457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11</w:t>
      </w:r>
    </w:p>
    <w:p w14:paraId="49C2D320" w14:textId="77777777" w:rsidR="00BF4457" w:rsidRDefault="00BF4457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p w14:paraId="7550EFDD" w14:textId="3D0EE400" w:rsidR="00BF4457" w:rsidRDefault="00BF4457" w:rsidP="00CD1C32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right="115"/>
        <w:jc w:val="both"/>
        <w:rPr>
          <w:rFonts w:ascii="Arial" w:hAnsi="Arial" w:cs="Arial"/>
          <w:sz w:val="24"/>
          <w:szCs w:val="24"/>
        </w:rPr>
      </w:pPr>
    </w:p>
    <w:p w14:paraId="6FDC2701" w14:textId="77777777" w:rsidR="00EE40D3" w:rsidRDefault="003851B9" w:rsidP="003851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5"/>
        <w:jc w:val="center"/>
        <w:rPr>
          <w:rFonts w:ascii="Arial" w:hAnsi="Arial" w:cs="Arial"/>
          <w:b/>
          <w:bCs/>
          <w:sz w:val="28"/>
          <w:szCs w:val="28"/>
        </w:rPr>
      </w:pPr>
      <w:r w:rsidRPr="008040C2">
        <w:rPr>
          <w:rFonts w:ascii="Arial" w:hAnsi="Arial" w:cs="Arial"/>
          <w:b/>
          <w:bCs/>
          <w:sz w:val="28"/>
          <w:szCs w:val="28"/>
        </w:rPr>
        <w:t xml:space="preserve">FISCAL YEAR 2021-22 COST REPORT </w:t>
      </w:r>
    </w:p>
    <w:p w14:paraId="7BC188A3" w14:textId="77777777" w:rsidR="00EE40D3" w:rsidRDefault="00EE40D3" w:rsidP="003851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DATA RE-ENTERING TO FINAL TEMPLATE </w:t>
      </w:r>
    </w:p>
    <w:p w14:paraId="7F4DB16F" w14:textId="6604FA6F" w:rsidR="00BF4457" w:rsidRPr="008040C2" w:rsidRDefault="002B75BB" w:rsidP="003851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RESPONSE</w:t>
      </w:r>
      <w:r w:rsidR="00EE40D3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0A8CD834" w14:textId="77777777" w:rsidR="00EE40D3" w:rsidRDefault="00EE40D3" w:rsidP="00CD1C32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p w14:paraId="7D8662AF" w14:textId="68F2D93B" w:rsidR="003851B9" w:rsidRDefault="00EA7311" w:rsidP="00CD1C32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State</w:t>
      </w:r>
      <w:r w:rsidR="00BF4457">
        <w:rPr>
          <w:rFonts w:ascii="Arial" w:hAnsi="Arial" w:cs="Arial"/>
          <w:sz w:val="24"/>
          <w:szCs w:val="24"/>
        </w:rPr>
        <w:t xml:space="preserve"> Department of Health Care Services </w:t>
      </w:r>
      <w:r w:rsidR="003851B9">
        <w:rPr>
          <w:rFonts w:ascii="Arial" w:hAnsi="Arial" w:cs="Arial"/>
          <w:sz w:val="24"/>
          <w:szCs w:val="24"/>
        </w:rPr>
        <w:t xml:space="preserve">(DHCS) </w:t>
      </w:r>
      <w:r>
        <w:rPr>
          <w:rFonts w:ascii="Arial" w:hAnsi="Arial" w:cs="Arial"/>
          <w:sz w:val="24"/>
          <w:szCs w:val="24"/>
        </w:rPr>
        <w:t xml:space="preserve">FY 2021-22 cost report final template is still pending; there are no updates on availability at this time.  </w:t>
      </w:r>
    </w:p>
    <w:p w14:paraId="5F92F0A2" w14:textId="2282E351" w:rsidR="00BF4457" w:rsidRDefault="00EA7311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mentioned during the September 28, 2022 training, contractors can transfer their cost report data to the final template on their </w:t>
      </w:r>
      <w:r w:rsidR="00DA57BD">
        <w:rPr>
          <w:rFonts w:ascii="Arial" w:hAnsi="Arial" w:cs="Arial"/>
          <w:sz w:val="24"/>
          <w:szCs w:val="24"/>
        </w:rPr>
        <w:t>own or</w:t>
      </w:r>
      <w:r>
        <w:rPr>
          <w:rFonts w:ascii="Arial" w:hAnsi="Arial" w:cs="Arial"/>
          <w:sz w:val="24"/>
          <w:szCs w:val="24"/>
        </w:rPr>
        <w:t xml:space="preserve"> allow their County analyst to complete the transfer on their behalf.  E</w:t>
      </w:r>
      <w:r w:rsidR="00CD1C32">
        <w:rPr>
          <w:rFonts w:ascii="Arial" w:hAnsi="Arial" w:cs="Arial"/>
          <w:sz w:val="24"/>
          <w:szCs w:val="24"/>
        </w:rPr>
        <w:t>ach</w:t>
      </w:r>
      <w:r w:rsidR="00385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contractor must</w:t>
      </w:r>
      <w:r w:rsidR="003851B9">
        <w:rPr>
          <w:rFonts w:ascii="Arial" w:hAnsi="Arial" w:cs="Arial"/>
          <w:sz w:val="24"/>
          <w:szCs w:val="24"/>
        </w:rPr>
        <w:t xml:space="preserve"> </w:t>
      </w:r>
      <w:r w:rsidR="00C04E7B">
        <w:rPr>
          <w:rFonts w:ascii="Arial" w:hAnsi="Arial" w:cs="Arial"/>
          <w:sz w:val="24"/>
          <w:szCs w:val="24"/>
        </w:rPr>
        <w:t xml:space="preserve">provide </w:t>
      </w:r>
      <w:r w:rsidR="00CD1C32">
        <w:rPr>
          <w:rFonts w:ascii="Arial" w:hAnsi="Arial" w:cs="Arial"/>
          <w:sz w:val="24"/>
          <w:szCs w:val="24"/>
        </w:rPr>
        <w:t>their</w:t>
      </w:r>
      <w:r w:rsidR="00C04E7B">
        <w:rPr>
          <w:rFonts w:ascii="Arial" w:hAnsi="Arial" w:cs="Arial"/>
          <w:sz w:val="24"/>
          <w:szCs w:val="24"/>
        </w:rPr>
        <w:t xml:space="preserve"> s</w:t>
      </w:r>
      <w:r w:rsidR="00BF4457">
        <w:rPr>
          <w:rFonts w:ascii="Arial" w:hAnsi="Arial" w:cs="Arial"/>
          <w:sz w:val="24"/>
          <w:szCs w:val="24"/>
        </w:rPr>
        <w:t>elected</w:t>
      </w:r>
      <w:r w:rsidR="00C04E7B">
        <w:rPr>
          <w:rFonts w:ascii="Arial" w:hAnsi="Arial" w:cs="Arial"/>
          <w:sz w:val="24"/>
          <w:szCs w:val="24"/>
        </w:rPr>
        <w:t xml:space="preserve"> </w:t>
      </w:r>
      <w:r w:rsidR="00BF4457">
        <w:rPr>
          <w:rFonts w:ascii="Arial" w:hAnsi="Arial" w:cs="Arial"/>
          <w:sz w:val="24"/>
          <w:szCs w:val="24"/>
        </w:rPr>
        <w:t>option</w:t>
      </w:r>
      <w:r w:rsidR="00001E6E">
        <w:rPr>
          <w:rFonts w:ascii="Arial" w:hAnsi="Arial" w:cs="Arial"/>
          <w:sz w:val="24"/>
          <w:szCs w:val="24"/>
        </w:rPr>
        <w:t xml:space="preserve">: </w:t>
      </w:r>
    </w:p>
    <w:p w14:paraId="12ACBD5C" w14:textId="26079204" w:rsidR="00BF4457" w:rsidRDefault="00BF4457" w:rsidP="009E5F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 w:right="11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8155"/>
      </w:tblGrid>
      <w:tr w:rsidR="00C04E7B" w14:paraId="452C68C3" w14:textId="77777777" w:rsidTr="00363D4C">
        <w:trPr>
          <w:jc w:val="center"/>
        </w:trPr>
        <w:tc>
          <w:tcPr>
            <w:tcW w:w="810" w:type="dxa"/>
            <w:vAlign w:val="bottom"/>
          </w:tcPr>
          <w:p w14:paraId="440369FE" w14:textId="429E35E9" w:rsidR="00C04E7B" w:rsidRDefault="00C04E7B" w:rsidP="00C04E7B">
            <w:pPr>
              <w:kinsoku w:val="0"/>
              <w:overflowPunct w:val="0"/>
              <w:autoSpaceDE w:val="0"/>
              <w:autoSpaceDN w:val="0"/>
              <w:adjustRightInd w:val="0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</w:t>
            </w:r>
          </w:p>
          <w:p w14:paraId="599E8CB4" w14:textId="371E6300" w:rsidR="00C04E7B" w:rsidRDefault="00C04E7B" w:rsidP="00C04E7B">
            <w:pPr>
              <w:kinsoku w:val="0"/>
              <w:overflowPunct w:val="0"/>
              <w:autoSpaceDE w:val="0"/>
              <w:autoSpaceDN w:val="0"/>
              <w:adjustRightInd w:val="0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  <w:tc>
          <w:tcPr>
            <w:tcW w:w="8155" w:type="dxa"/>
            <w:vAlign w:val="bottom"/>
          </w:tcPr>
          <w:p w14:paraId="3288CCFA" w14:textId="212C205C" w:rsidR="00C04E7B" w:rsidRPr="003851B9" w:rsidRDefault="00C04E7B" w:rsidP="00C04E7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</w:t>
            </w:r>
            <w:r w:rsidR="003B064D">
              <w:rPr>
                <w:rFonts w:ascii="Arial" w:hAnsi="Arial" w:cs="Arial"/>
                <w:sz w:val="24"/>
                <w:szCs w:val="24"/>
              </w:rPr>
              <w:t>(</w:t>
            </w:r>
            <w:r w:rsidR="005C591D">
              <w:rPr>
                <w:rFonts w:ascii="Arial" w:hAnsi="Arial" w:cs="Arial"/>
                <w:sz w:val="24"/>
                <w:szCs w:val="24"/>
              </w:rPr>
              <w:t>s</w:t>
            </w:r>
            <w:r w:rsidR="003B064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51B9" w14:paraId="0BA2C339" w14:textId="77777777" w:rsidTr="00363D4C">
        <w:trPr>
          <w:jc w:val="center"/>
        </w:trPr>
        <w:tc>
          <w:tcPr>
            <w:tcW w:w="810" w:type="dxa"/>
          </w:tcPr>
          <w:p w14:paraId="598E15ED" w14:textId="77777777" w:rsidR="003851B9" w:rsidRDefault="003851B9" w:rsidP="00CD1C3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5" w:type="dxa"/>
          </w:tcPr>
          <w:p w14:paraId="6A10C23B" w14:textId="44FEE4EF" w:rsidR="006922D1" w:rsidRDefault="003851B9" w:rsidP="006922D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1B9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="00363D4C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re-enter the cost report data </w:t>
            </w:r>
            <w:r w:rsidR="00CD1C32">
              <w:rPr>
                <w:rFonts w:ascii="Arial" w:hAnsi="Arial" w:cs="Arial"/>
                <w:sz w:val="24"/>
                <w:szCs w:val="24"/>
              </w:rPr>
              <w:t xml:space="preserve">into </w:t>
            </w:r>
            <w:r w:rsidR="00C5047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D1C32">
              <w:rPr>
                <w:rFonts w:ascii="Arial" w:hAnsi="Arial" w:cs="Arial"/>
                <w:sz w:val="24"/>
                <w:szCs w:val="24"/>
              </w:rPr>
              <w:t xml:space="preserve">final template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and re-submit it </w:t>
            </w:r>
            <w:r w:rsidR="00CD1C3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C50477">
              <w:rPr>
                <w:rFonts w:ascii="Arial" w:hAnsi="Arial" w:cs="Arial"/>
                <w:sz w:val="24"/>
                <w:szCs w:val="24"/>
              </w:rPr>
              <w:t xml:space="preserve">LAC-DMH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6922D1">
              <w:rPr>
                <w:rFonts w:ascii="Arial" w:hAnsi="Arial" w:cs="Arial"/>
                <w:sz w:val="24"/>
                <w:szCs w:val="24"/>
              </w:rPr>
              <w:t>four</w:t>
            </w:r>
            <w:r w:rsidR="006922D1" w:rsidRPr="00385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2D1">
              <w:rPr>
                <w:rFonts w:ascii="Arial" w:hAnsi="Arial" w:cs="Arial"/>
                <w:sz w:val="24"/>
                <w:szCs w:val="24"/>
              </w:rPr>
              <w:t xml:space="preserve">(4)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business days </w:t>
            </w:r>
            <w:r w:rsidR="00CD1C32">
              <w:rPr>
                <w:rFonts w:ascii="Arial" w:hAnsi="Arial" w:cs="Arial"/>
                <w:sz w:val="24"/>
                <w:szCs w:val="24"/>
              </w:rPr>
              <w:t xml:space="preserve">after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receiving </w:t>
            </w:r>
            <w:r w:rsidR="00C5047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851B9">
              <w:rPr>
                <w:rFonts w:ascii="Arial" w:hAnsi="Arial" w:cs="Arial"/>
                <w:sz w:val="24"/>
                <w:szCs w:val="24"/>
              </w:rPr>
              <w:t>final template</w:t>
            </w:r>
            <w:r w:rsidR="006922D1">
              <w:rPr>
                <w:rFonts w:ascii="Arial" w:hAnsi="Arial" w:cs="Arial"/>
                <w:sz w:val="24"/>
                <w:szCs w:val="24"/>
              </w:rPr>
              <w:t>;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C05AE" w14:textId="4C9F57E3" w:rsidR="00CD1C32" w:rsidRDefault="00CD1C32" w:rsidP="006922D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1B9" w14:paraId="591DB7FE" w14:textId="77777777" w:rsidTr="00363D4C">
        <w:trPr>
          <w:jc w:val="center"/>
        </w:trPr>
        <w:tc>
          <w:tcPr>
            <w:tcW w:w="810" w:type="dxa"/>
          </w:tcPr>
          <w:p w14:paraId="7E282178" w14:textId="77777777" w:rsidR="003851B9" w:rsidRDefault="003851B9" w:rsidP="00CD1C3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5" w:type="dxa"/>
          </w:tcPr>
          <w:p w14:paraId="3395F575" w14:textId="0B8AC1EB" w:rsidR="003851B9" w:rsidRDefault="003851B9" w:rsidP="003851B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51B9">
              <w:rPr>
                <w:rFonts w:ascii="Arial" w:hAnsi="Arial" w:cs="Arial"/>
                <w:sz w:val="24"/>
                <w:szCs w:val="24"/>
              </w:rPr>
              <w:t xml:space="preserve">LE authorizes </w:t>
            </w:r>
            <w:r w:rsidR="00C50477">
              <w:rPr>
                <w:rFonts w:ascii="Arial" w:hAnsi="Arial" w:cs="Arial"/>
                <w:sz w:val="24"/>
                <w:szCs w:val="24"/>
              </w:rPr>
              <w:t>LAC-DMH</w:t>
            </w:r>
            <w:r w:rsidR="00C50477" w:rsidRPr="00385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to re-enter the cost report data into </w:t>
            </w:r>
            <w:r w:rsidR="00C50477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3851B9">
              <w:rPr>
                <w:rFonts w:ascii="Arial" w:hAnsi="Arial" w:cs="Arial"/>
                <w:sz w:val="24"/>
                <w:szCs w:val="24"/>
              </w:rPr>
              <w:t>final template</w:t>
            </w:r>
            <w:r w:rsidR="00E961BF">
              <w:rPr>
                <w:rFonts w:ascii="Arial" w:hAnsi="Arial" w:cs="Arial"/>
                <w:sz w:val="24"/>
                <w:szCs w:val="24"/>
              </w:rPr>
              <w:t xml:space="preserve"> and u</w:t>
            </w:r>
            <w:r w:rsidR="003B064D">
              <w:rPr>
                <w:rFonts w:ascii="Arial" w:hAnsi="Arial" w:cs="Arial"/>
                <w:sz w:val="24"/>
                <w:szCs w:val="24"/>
              </w:rPr>
              <w:t xml:space="preserve">pon completion, </w:t>
            </w:r>
            <w:r w:rsidR="00E961BF">
              <w:rPr>
                <w:rFonts w:ascii="Arial" w:hAnsi="Arial" w:cs="Arial"/>
                <w:sz w:val="24"/>
                <w:szCs w:val="24"/>
              </w:rPr>
              <w:t>LAC-DMH</w:t>
            </w:r>
            <w:r w:rsidR="00E961BF" w:rsidRPr="00385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will provide </w:t>
            </w:r>
            <w:r w:rsidR="00E961BF">
              <w:rPr>
                <w:rFonts w:ascii="Arial" w:hAnsi="Arial" w:cs="Arial"/>
                <w:sz w:val="24"/>
                <w:szCs w:val="24"/>
              </w:rPr>
              <w:t xml:space="preserve">to the LE the 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final version of </w:t>
            </w:r>
            <w:r w:rsidR="00E961BF">
              <w:rPr>
                <w:rFonts w:ascii="Arial" w:hAnsi="Arial" w:cs="Arial"/>
                <w:sz w:val="24"/>
                <w:szCs w:val="24"/>
              </w:rPr>
              <w:t>the c</w:t>
            </w:r>
            <w:r w:rsidRPr="003851B9">
              <w:rPr>
                <w:rFonts w:ascii="Arial" w:hAnsi="Arial" w:cs="Arial"/>
                <w:sz w:val="24"/>
                <w:szCs w:val="24"/>
              </w:rPr>
              <w:t>ost report for review</w:t>
            </w:r>
            <w:r w:rsidR="00E961BF">
              <w:rPr>
                <w:rFonts w:ascii="Arial" w:hAnsi="Arial" w:cs="Arial"/>
                <w:sz w:val="24"/>
                <w:szCs w:val="24"/>
              </w:rPr>
              <w:t>, signature,</w:t>
            </w:r>
            <w:r w:rsidRPr="003851B9">
              <w:rPr>
                <w:rFonts w:ascii="Arial" w:hAnsi="Arial" w:cs="Arial"/>
                <w:sz w:val="24"/>
                <w:szCs w:val="24"/>
              </w:rPr>
              <w:t xml:space="preserve"> and record keeping.</w:t>
            </w:r>
          </w:p>
          <w:p w14:paraId="6498E889" w14:textId="7153B6BA" w:rsidR="003851B9" w:rsidRDefault="003851B9" w:rsidP="003851B9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200C3" w14:textId="653E0E10" w:rsidR="00BF4457" w:rsidRDefault="008040C2" w:rsidP="00666522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</w:t>
      </w:r>
      <w:r w:rsidR="00E961BF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completed form along with Cost Report Packet for next step.</w:t>
      </w:r>
    </w:p>
    <w:p w14:paraId="6FA6F837" w14:textId="77777777" w:rsidR="008040C2" w:rsidRDefault="008040C2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6"/>
        <w:gridCol w:w="1620"/>
        <w:gridCol w:w="236"/>
        <w:gridCol w:w="4769"/>
      </w:tblGrid>
      <w:tr w:rsidR="00363D4C" w14:paraId="7B45D485" w14:textId="77777777" w:rsidTr="00363D4C">
        <w:tc>
          <w:tcPr>
            <w:tcW w:w="2846" w:type="dxa"/>
          </w:tcPr>
          <w:p w14:paraId="5BAA02CC" w14:textId="42EB73BC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D4C">
              <w:rPr>
                <w:rFonts w:ascii="Arial" w:hAnsi="Arial" w:cs="Arial"/>
                <w:sz w:val="24"/>
                <w:szCs w:val="24"/>
              </w:rPr>
              <w:t>Legal Entity (LE) Name:</w:t>
            </w:r>
          </w:p>
        </w:tc>
        <w:tc>
          <w:tcPr>
            <w:tcW w:w="6625" w:type="dxa"/>
            <w:gridSpan w:val="3"/>
            <w:tcBorders>
              <w:bottom w:val="single" w:sz="4" w:space="0" w:color="auto"/>
            </w:tcBorders>
          </w:tcPr>
          <w:p w14:paraId="69D3BEA6" w14:textId="77777777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C" w14:paraId="4B26B80D" w14:textId="77777777" w:rsidTr="00363D4C">
        <w:tc>
          <w:tcPr>
            <w:tcW w:w="2846" w:type="dxa"/>
          </w:tcPr>
          <w:p w14:paraId="40F6F9F0" w14:textId="001FEC83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Number:</w:t>
            </w:r>
          </w:p>
        </w:tc>
        <w:tc>
          <w:tcPr>
            <w:tcW w:w="6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0DB37" w14:textId="77777777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C" w14:paraId="3C2BADCF" w14:textId="77777777" w:rsidTr="002B75BB">
        <w:trPr>
          <w:trHeight w:val="720"/>
        </w:trPr>
        <w:tc>
          <w:tcPr>
            <w:tcW w:w="4466" w:type="dxa"/>
            <w:gridSpan w:val="2"/>
            <w:tcBorders>
              <w:bottom w:val="single" w:sz="4" w:space="0" w:color="auto"/>
            </w:tcBorders>
            <w:vAlign w:val="bottom"/>
          </w:tcPr>
          <w:p w14:paraId="6908A6FA" w14:textId="1DD46560" w:rsidR="00363D4C" w:rsidRDefault="00363D4C" w:rsidP="008040C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BFAB25E" w14:textId="77777777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  <w:vAlign w:val="bottom"/>
          </w:tcPr>
          <w:p w14:paraId="2B99890E" w14:textId="77777777" w:rsidR="00363D4C" w:rsidRDefault="00363D4C" w:rsidP="008040C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C" w14:paraId="1E935400" w14:textId="77777777" w:rsidTr="008040C2"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14:paraId="1342B9E7" w14:textId="31C49086" w:rsid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36" w:type="dxa"/>
          </w:tcPr>
          <w:p w14:paraId="01E29648" w14:textId="77777777" w:rsid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</w:tcPr>
          <w:p w14:paraId="6CAC06F2" w14:textId="4A2B15FD" w:rsid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363D4C" w14:paraId="1B84BD53" w14:textId="77777777" w:rsidTr="008040C2">
        <w:tc>
          <w:tcPr>
            <w:tcW w:w="4466" w:type="dxa"/>
            <w:gridSpan w:val="2"/>
            <w:tcBorders>
              <w:bottom w:val="single" w:sz="4" w:space="0" w:color="auto"/>
            </w:tcBorders>
          </w:tcPr>
          <w:p w14:paraId="7F288911" w14:textId="77777777" w:rsidR="00363D4C" w:rsidRDefault="00363D4C" w:rsidP="008040C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511F5101" w14:textId="77777777" w:rsidR="00363D4C" w:rsidRDefault="00363D4C" w:rsidP="00BF4457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397368B5" w14:textId="77777777" w:rsidR="00363D4C" w:rsidRDefault="00363D4C" w:rsidP="008040C2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D4C" w14:paraId="3038510D" w14:textId="77777777" w:rsidTr="008040C2">
        <w:trPr>
          <w:trHeight w:val="575"/>
        </w:trPr>
        <w:tc>
          <w:tcPr>
            <w:tcW w:w="4466" w:type="dxa"/>
            <w:gridSpan w:val="2"/>
            <w:tcBorders>
              <w:top w:val="single" w:sz="4" w:space="0" w:color="auto"/>
            </w:tcBorders>
            <w:noWrap/>
          </w:tcPr>
          <w:p w14:paraId="367FB310" w14:textId="26E12C2E" w:rsidR="00363D4C" w:rsidRP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D4C">
              <w:rPr>
                <w:rFonts w:ascii="Arial" w:hAnsi="Arial" w:cs="Arial"/>
              </w:rPr>
              <w:t>Name</w:t>
            </w:r>
            <w:r w:rsidR="008040C2">
              <w:rPr>
                <w:rFonts w:ascii="Arial" w:hAnsi="Arial" w:cs="Arial"/>
              </w:rPr>
              <w:t xml:space="preserve"> of Authorized Official</w:t>
            </w:r>
          </w:p>
        </w:tc>
        <w:tc>
          <w:tcPr>
            <w:tcW w:w="236" w:type="dxa"/>
          </w:tcPr>
          <w:p w14:paraId="5C05362A" w14:textId="77777777" w:rsidR="00363D4C" w:rsidRP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auto"/>
            </w:tcBorders>
          </w:tcPr>
          <w:p w14:paraId="4EFBE2CA" w14:textId="2768AFD6" w:rsidR="00363D4C" w:rsidRPr="00363D4C" w:rsidRDefault="00363D4C" w:rsidP="00363D4C">
            <w:pPr>
              <w:kinsoku w:val="0"/>
              <w:overflowPunct w:val="0"/>
              <w:autoSpaceDE w:val="0"/>
              <w:autoSpaceDN w:val="0"/>
              <w:adjustRightInd w:val="0"/>
              <w:spacing w:before="199"/>
              <w:ind w:right="1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D4C">
              <w:rPr>
                <w:rFonts w:ascii="Arial" w:hAnsi="Arial" w:cs="Arial"/>
              </w:rPr>
              <w:t>Title</w:t>
            </w:r>
          </w:p>
        </w:tc>
      </w:tr>
    </w:tbl>
    <w:p w14:paraId="6D1B261A" w14:textId="77777777" w:rsidR="00BF4457" w:rsidRDefault="00BF4457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p w14:paraId="416A0CCF" w14:textId="77777777" w:rsidR="00BF4457" w:rsidRDefault="00BF4457" w:rsidP="00BF4457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19" w:right="115"/>
        <w:jc w:val="both"/>
        <w:rPr>
          <w:rFonts w:ascii="Arial" w:hAnsi="Arial" w:cs="Arial"/>
          <w:sz w:val="24"/>
          <w:szCs w:val="24"/>
        </w:rPr>
      </w:pPr>
    </w:p>
    <w:p w14:paraId="2E605403" w14:textId="77777777" w:rsidR="00C76CA8" w:rsidRDefault="00C76CA8"/>
    <w:sectPr w:rsidR="00C76CA8" w:rsidSect="00BF4457">
      <w:pgSz w:w="12240" w:h="15840"/>
      <w:pgMar w:top="0" w:right="1320" w:bottom="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57"/>
    <w:rsid w:val="00001E6E"/>
    <w:rsid w:val="002B75BB"/>
    <w:rsid w:val="00363D4C"/>
    <w:rsid w:val="003851B9"/>
    <w:rsid w:val="003B064D"/>
    <w:rsid w:val="003D3A61"/>
    <w:rsid w:val="005C591D"/>
    <w:rsid w:val="00666522"/>
    <w:rsid w:val="006922D1"/>
    <w:rsid w:val="008040C2"/>
    <w:rsid w:val="009E5F9A"/>
    <w:rsid w:val="00BF4457"/>
    <w:rsid w:val="00C04E7B"/>
    <w:rsid w:val="00C50477"/>
    <w:rsid w:val="00C76CA8"/>
    <w:rsid w:val="00CD1C32"/>
    <w:rsid w:val="00D119A8"/>
    <w:rsid w:val="00DA57BD"/>
    <w:rsid w:val="00E961BF"/>
    <w:rsid w:val="00EA7311"/>
    <w:rsid w:val="00EE40D3"/>
    <w:rsid w:val="00F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0D1D"/>
  <w15:chartTrackingRefBased/>
  <w15:docId w15:val="{EC1D9711-D3D3-4174-A634-12939D5E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County DMH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2022-09-29T18:09:00Z</dcterms:created>
  <dc:creator>Tracy T Namkung</dc:creator>
  <cp:lastModifiedBy>Marilou Nguyen</cp:lastModifiedBy>
  <dcterms:modified xsi:type="dcterms:W3CDTF">2022-09-29T18:16:00Z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Cost Report uploads 093022</vt:lpwstr>
  </property>
  <property pid="4" fmtid="{D5CDD505-2E9C-101B-9397-08002B2CF9AE}" name="sds_subject">
    <vt:lpwstr/>
  </property>
  <property pid="5" fmtid="{D5CDD505-2E9C-101B-9397-08002B2CF9AE}" name="sds_org_subfolder">
    <vt:lpwstr>Admin_Tools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9/30/2022 12:00:00 AM</vt:lpwstr>
  </property>
  <property pid="10" fmtid="{D5CDD505-2E9C-101B-9397-08002B2CF9AE}" name="sds_doc_id">
    <vt:lpwstr>1131098</vt:lpwstr>
  </property>
  <property pid="11" fmtid="{D5CDD505-2E9C-101B-9397-08002B2CF9AE}" name="sds_customer_org_name">
    <vt:lpwstr/>
  </property>
  <property pid="12" fmtid="{D5CDD505-2E9C-101B-9397-08002B2CF9AE}" name="object_name">
    <vt:lpwstr>1131098_Attachment11_FY2021-22CostReportDataRe-enterResponse_ReturnRequired_.docx</vt:lpwstr>
  </property>
  <property pid="13" fmtid="{D5CDD505-2E9C-101B-9397-08002B2CF9AE}" name="sds_audience_type">
    <vt:lpwstr>Internet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