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86B97" w14:textId="62A13F03" w:rsidR="00DA3690" w:rsidRPr="008F40ED" w:rsidRDefault="00DA3690">
      <w:pPr>
        <w:rPr>
          <w:rFonts w:ascii="Times New Roman" w:hAnsi="Times New Roman" w:cs="Times New Roman"/>
          <w:b/>
        </w:rPr>
      </w:pPr>
      <w:r w:rsidRPr="008F40ED">
        <w:rPr>
          <w:rFonts w:ascii="Times New Roman" w:hAnsi="Times New Roman" w:cs="Times New Roman"/>
          <w:b/>
        </w:rPr>
        <w:t>EmergiPress Continuing Education – 1 Unit CE</w:t>
      </w:r>
      <w:r w:rsidR="00EC6C2C">
        <w:rPr>
          <w:rFonts w:ascii="Times New Roman" w:hAnsi="Times New Roman" w:cs="Times New Roman"/>
          <w:b/>
        </w:rPr>
        <w:t>, FCA</w:t>
      </w:r>
    </w:p>
    <w:p w14:paraId="65F0C1FC" w14:textId="77777777" w:rsidR="0066762F" w:rsidRDefault="0066762F">
      <w:pPr>
        <w:rPr>
          <w:rFonts w:ascii="Times New Roman" w:hAnsi="Times New Roman" w:cs="Times New Roman"/>
          <w:u w:val="single"/>
        </w:rPr>
      </w:pPr>
    </w:p>
    <w:p w14:paraId="30CAC131" w14:textId="3FDE359F" w:rsidR="002B5CC6" w:rsidRPr="008F40ED" w:rsidRDefault="00D4460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u w:val="single"/>
        </w:rPr>
        <w:t>July/August</w:t>
      </w:r>
      <w:r w:rsidR="00ED2CA8">
        <w:rPr>
          <w:rFonts w:ascii="Times New Roman" w:hAnsi="Times New Roman" w:cs="Times New Roman"/>
          <w:u w:val="single"/>
        </w:rPr>
        <w:t xml:space="preserve"> 2026</w:t>
      </w:r>
    </w:p>
    <w:p w14:paraId="24A46B4E" w14:textId="3CF73F93" w:rsidR="009567EE" w:rsidRPr="008F40ED" w:rsidRDefault="009567EE">
      <w:pPr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>The EmergiPress Education Newsletter is divided into three sections</w:t>
      </w:r>
      <w:r w:rsidR="008F40ED">
        <w:rPr>
          <w:rFonts w:ascii="Times New Roman" w:hAnsi="Times New Roman" w:cs="Times New Roman"/>
        </w:rPr>
        <w:t xml:space="preserve"> each month</w:t>
      </w:r>
      <w:r w:rsidRPr="008F40ED">
        <w:rPr>
          <w:rFonts w:ascii="Times New Roman" w:hAnsi="Times New Roman" w:cs="Times New Roman"/>
        </w:rPr>
        <w:t>.  Completing all three sections should take approximately 1 hour.  After completing the section</w:t>
      </w:r>
      <w:r w:rsidR="0026479A" w:rsidRPr="008F40ED">
        <w:rPr>
          <w:rFonts w:ascii="Times New Roman" w:hAnsi="Times New Roman" w:cs="Times New Roman"/>
        </w:rPr>
        <w:t>s, the corresponding</w:t>
      </w:r>
      <w:r w:rsidR="002B1F2A" w:rsidRPr="008F40ED">
        <w:rPr>
          <w:rFonts w:ascii="Times New Roman" w:hAnsi="Times New Roman" w:cs="Times New Roman"/>
        </w:rPr>
        <w:t xml:space="preserve"> EmergiP</w:t>
      </w:r>
      <w:r w:rsidR="00DA3690" w:rsidRPr="008F40ED">
        <w:rPr>
          <w:rFonts w:ascii="Times New Roman" w:hAnsi="Times New Roman" w:cs="Times New Roman"/>
        </w:rPr>
        <w:t xml:space="preserve">ress </w:t>
      </w:r>
      <w:r w:rsidRPr="008F40ED">
        <w:rPr>
          <w:rFonts w:ascii="Times New Roman" w:hAnsi="Times New Roman" w:cs="Times New Roman"/>
        </w:rPr>
        <w:t xml:space="preserve">test can be completed and submitted for 1 unit CE through your provider agency continuing education coordinator.  </w:t>
      </w:r>
      <w:r w:rsidR="00DA3690" w:rsidRPr="008F40ED">
        <w:rPr>
          <w:rFonts w:ascii="Times New Roman" w:hAnsi="Times New Roman" w:cs="Times New Roman"/>
        </w:rPr>
        <w:t>A passing score of 80% and completion of a course evaluation is required for CE credit.</w:t>
      </w:r>
      <w:r w:rsidR="002F2042">
        <w:rPr>
          <w:rFonts w:ascii="Times New Roman" w:hAnsi="Times New Roman" w:cs="Times New Roman"/>
        </w:rPr>
        <w:t xml:space="preserve">  Students must also sign-in on an EMS CE Roster.</w:t>
      </w:r>
    </w:p>
    <w:p w14:paraId="084F8884" w14:textId="77777777" w:rsidR="00871972" w:rsidRDefault="00871972">
      <w:pPr>
        <w:rPr>
          <w:rFonts w:ascii="Times New Roman" w:hAnsi="Times New Roman" w:cs="Times New Roman"/>
          <w:b/>
        </w:rPr>
      </w:pPr>
    </w:p>
    <w:p w14:paraId="118897F1" w14:textId="096BD177" w:rsidR="0054140F" w:rsidRPr="008F40ED" w:rsidRDefault="00F452C9">
      <w:pPr>
        <w:rPr>
          <w:rFonts w:ascii="Times New Roman" w:hAnsi="Times New Roman" w:cs="Times New Roman"/>
          <w:b/>
        </w:rPr>
      </w:pPr>
      <w:r w:rsidRPr="008F40ED">
        <w:rPr>
          <w:rFonts w:ascii="Times New Roman" w:hAnsi="Times New Roman" w:cs="Times New Roman"/>
          <w:b/>
        </w:rPr>
        <w:t>Objectives:</w:t>
      </w:r>
      <w:r w:rsidR="0054140F" w:rsidRPr="008F40ED">
        <w:rPr>
          <w:rFonts w:ascii="Times New Roman" w:hAnsi="Times New Roman" w:cs="Times New Roman"/>
          <w:b/>
        </w:rPr>
        <w:t xml:space="preserve"> </w:t>
      </w:r>
    </w:p>
    <w:p w14:paraId="4039ABBA" w14:textId="1292314B" w:rsidR="00F452C9" w:rsidRPr="008F40ED" w:rsidRDefault="002B5CC6">
      <w:pPr>
        <w:rPr>
          <w:rFonts w:ascii="Times New Roman" w:hAnsi="Times New Roman" w:cs="Times New Roman"/>
        </w:rPr>
      </w:pPr>
      <w:r w:rsidRPr="008F40ED">
        <w:rPr>
          <w:rFonts w:ascii="Times New Roman" w:hAnsi="Times New Roman" w:cs="Times New Roman"/>
        </w:rPr>
        <w:t>Upon</w:t>
      </w:r>
      <w:r w:rsidR="0054140F" w:rsidRPr="008F40ED">
        <w:rPr>
          <w:rFonts w:ascii="Times New Roman" w:hAnsi="Times New Roman" w:cs="Times New Roman"/>
        </w:rPr>
        <w:t xml:space="preserve"> completing this activity </w:t>
      </w:r>
      <w:r w:rsidRPr="008F40ED">
        <w:rPr>
          <w:rFonts w:ascii="Times New Roman" w:hAnsi="Times New Roman" w:cs="Times New Roman"/>
        </w:rPr>
        <w:t xml:space="preserve">the participant </w:t>
      </w:r>
      <w:r w:rsidR="0054140F" w:rsidRPr="008F40ED">
        <w:rPr>
          <w:rFonts w:ascii="Times New Roman" w:hAnsi="Times New Roman" w:cs="Times New Roman"/>
        </w:rPr>
        <w:t>will be able to:</w:t>
      </w:r>
    </w:p>
    <w:p w14:paraId="51ACAF33" w14:textId="77777777" w:rsidR="00ED2CA8" w:rsidRDefault="00ED2CA8" w:rsidP="00ED2CA8">
      <w:pPr>
        <w:spacing w:after="240" w:line="276" w:lineRule="auto"/>
        <w:rPr>
          <w:rFonts w:ascii="Times New Roman" w:eastAsia="Times New Roman" w:hAnsi="Times New Roman" w:cs="Times New Roman"/>
          <w:color w:val="000000" w:themeColor="text1"/>
          <w:u w:val="single"/>
        </w:rPr>
      </w:pPr>
      <w:r w:rsidRPr="003F2673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Video of the Month – 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>Evaluating the Pediatric C-Spine</w:t>
      </w:r>
    </w:p>
    <w:p w14:paraId="06D7311A" w14:textId="77777777" w:rsidR="00750FCA" w:rsidRDefault="00750FCA" w:rsidP="00750FCA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>Describe</w:t>
      </w:r>
      <w:r w:rsidRPr="00690F04">
        <w:rPr>
          <w:rFonts w:ascii="Times New Roman" w:eastAsia="Times New Roman" w:hAnsi="Times New Roman" w:cs="Times New Roman"/>
          <w:color w:val="000000" w:themeColor="text1"/>
        </w:rPr>
        <w:t xml:space="preserve"> evidence-informed </w:t>
      </w:r>
      <w:r>
        <w:rPr>
          <w:rFonts w:ascii="Times New Roman" w:eastAsia="Times New Roman" w:hAnsi="Times New Roman" w:cs="Times New Roman"/>
          <w:color w:val="000000" w:themeColor="text1"/>
        </w:rPr>
        <w:t>criteria</w:t>
      </w:r>
      <w:r w:rsidRPr="00690F04">
        <w:rPr>
          <w:rFonts w:ascii="Times New Roman" w:eastAsia="Times New Roman" w:hAnsi="Times New Roman" w:cs="Times New Roman"/>
          <w:color w:val="000000" w:themeColor="text1"/>
        </w:rPr>
        <w:t xml:space="preserve"> for </w:t>
      </w:r>
      <w:r>
        <w:rPr>
          <w:rFonts w:ascii="Times New Roman" w:eastAsia="Times New Roman" w:hAnsi="Times New Roman" w:cs="Times New Roman"/>
          <w:color w:val="000000" w:themeColor="text1"/>
        </w:rPr>
        <w:t>spinal motion restriction</w:t>
      </w:r>
      <w:r w:rsidRPr="00690F04">
        <w:rPr>
          <w:rFonts w:ascii="Times New Roman" w:eastAsia="Times New Roman" w:hAnsi="Times New Roman" w:cs="Times New Roman"/>
          <w:color w:val="000000" w:themeColor="text1"/>
        </w:rPr>
        <w:t xml:space="preserve"> in pediatric patients</w:t>
      </w:r>
    </w:p>
    <w:p w14:paraId="08835990" w14:textId="77777777" w:rsidR="00750FCA" w:rsidRPr="00B35664" w:rsidRDefault="00750FCA" w:rsidP="00750FCA">
      <w:pPr>
        <w:pStyle w:val="ListParagraph"/>
        <w:numPr>
          <w:ilvl w:val="0"/>
          <w:numId w:val="14"/>
        </w:numPr>
        <w:rPr>
          <w:rFonts w:ascii="Times New Roman" w:eastAsia="Times New Roman" w:hAnsi="Times New Roman" w:cs="Times New Roman"/>
          <w:color w:val="000000" w:themeColor="text1"/>
        </w:rPr>
      </w:pPr>
      <w:r w:rsidRPr="00690F04">
        <w:rPr>
          <w:rFonts w:ascii="Times New Roman" w:eastAsia="Times New Roman" w:hAnsi="Times New Roman" w:cs="Times New Roman"/>
          <w:color w:val="000000" w:themeColor="text1"/>
        </w:rPr>
        <w:t>Identify common contributors to under-immobilization in pediatric trauma during prehospital evaluation</w:t>
      </w:r>
    </w:p>
    <w:p w14:paraId="107DAF47" w14:textId="77777777" w:rsidR="00ED2CA8" w:rsidRPr="003F2673" w:rsidRDefault="00ED2CA8" w:rsidP="00ED2CA8">
      <w:pPr>
        <w:spacing w:before="240"/>
        <w:rPr>
          <w:rFonts w:ascii="Times New Roman" w:eastAsia="Times New Roman" w:hAnsi="Times New Roman" w:cs="Times New Roman"/>
          <w:color w:val="000000" w:themeColor="text1"/>
        </w:rPr>
      </w:pPr>
      <w:r w:rsidRPr="003F2673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Case of the Month - </w:t>
      </w:r>
      <w:r w:rsidRPr="003F2673">
        <w:rPr>
          <w:rFonts w:ascii="Times New Roman" w:hAnsi="Times New Roman" w:cs="Times New Roman"/>
          <w:u w:val="single"/>
        </w:rPr>
        <w:t>Looks Fine” is Not a Neuro Exam</w:t>
      </w:r>
    </w:p>
    <w:p w14:paraId="7BEA5F30" w14:textId="77777777" w:rsidR="002771D6" w:rsidRPr="00B35664" w:rsidRDefault="002771D6" w:rsidP="002771D6">
      <w:pPr>
        <w:pStyle w:val="ListParagraph"/>
        <w:numPr>
          <w:ilvl w:val="0"/>
          <w:numId w:val="15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B35664">
        <w:rPr>
          <w:rFonts w:ascii="Times New Roman" w:eastAsia="Times New Roman" w:hAnsi="Times New Roman" w:cs="Times New Roman"/>
        </w:rPr>
        <w:t xml:space="preserve">Apply evidence-informed </w:t>
      </w:r>
      <w:r>
        <w:rPr>
          <w:rFonts w:ascii="Times New Roman" w:eastAsia="Times New Roman" w:hAnsi="Times New Roman" w:cs="Times New Roman"/>
        </w:rPr>
        <w:t>criteria</w:t>
      </w:r>
      <w:r w:rsidRPr="00B35664">
        <w:rPr>
          <w:rFonts w:ascii="Times New Roman" w:eastAsia="Times New Roman" w:hAnsi="Times New Roman" w:cs="Times New Roman"/>
        </w:rPr>
        <w:t xml:space="preserve"> for spinal motion restriction in pediatric patients</w:t>
      </w:r>
    </w:p>
    <w:p w14:paraId="6952ACB2" w14:textId="77777777" w:rsidR="002771D6" w:rsidRPr="00B35664" w:rsidRDefault="002771D6" w:rsidP="002771D6">
      <w:pPr>
        <w:pStyle w:val="ListParagraph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B35664">
        <w:rPr>
          <w:rFonts w:ascii="Times New Roman" w:eastAsia="Times New Roman" w:hAnsi="Times New Roman" w:cs="Times New Roman"/>
        </w:rPr>
        <w:t>Identify common contributors to under-immobilization in pediatric trauma during prehospital evaluation</w:t>
      </w:r>
    </w:p>
    <w:p w14:paraId="29DCD0F9" w14:textId="77777777" w:rsidR="00ED2CA8" w:rsidRPr="003F2673" w:rsidRDefault="00ED2CA8" w:rsidP="00ED2CA8">
      <w:pPr>
        <w:spacing w:before="240"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F2673">
        <w:rPr>
          <w:rFonts w:ascii="Times New Roman" w:eastAsia="Times New Roman" w:hAnsi="Times New Roman" w:cs="Times New Roman"/>
          <w:color w:val="000000" w:themeColor="text1"/>
          <w:u w:val="single"/>
        </w:rPr>
        <w:t xml:space="preserve">ECG of the Month – Bradycardia in the Trauma Patient </w:t>
      </w:r>
    </w:p>
    <w:p w14:paraId="45F9C261" w14:textId="77777777" w:rsidR="00F26C3A" w:rsidRPr="003F2673" w:rsidRDefault="00F26C3A" w:rsidP="00F26C3A">
      <w:pPr>
        <w:pStyle w:val="ListParagraph"/>
        <w:numPr>
          <w:ilvl w:val="0"/>
          <w:numId w:val="16"/>
        </w:numPr>
        <w:spacing w:after="100" w:afterAutospacing="1" w:line="240" w:lineRule="auto"/>
        <w:rPr>
          <w:rFonts w:ascii="Times New Roman" w:eastAsia="Times New Roman" w:hAnsi="Times New Roman" w:cs="Times New Roman"/>
        </w:rPr>
      </w:pPr>
      <w:r w:rsidRPr="003F2673">
        <w:rPr>
          <w:rFonts w:ascii="Times New Roman" w:eastAsia="Times New Roman" w:hAnsi="Times New Roman" w:cs="Times New Roman"/>
        </w:rPr>
        <w:t>Describe the significance of hypotension without tachycardia in patients after trauma</w:t>
      </w:r>
    </w:p>
    <w:p w14:paraId="19A2DD4E" w14:textId="77777777" w:rsidR="00F26C3A" w:rsidRPr="003F2673" w:rsidRDefault="00F26C3A" w:rsidP="00F26C3A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F2673">
        <w:rPr>
          <w:rFonts w:ascii="Times New Roman" w:eastAsia="Times New Roman" w:hAnsi="Times New Roman" w:cs="Times New Roman"/>
        </w:rPr>
        <w:t xml:space="preserve">Discuss how ECGs can assist </w:t>
      </w:r>
      <w:r w:rsidRPr="00D97593">
        <w:rPr>
          <w:rFonts w:ascii="Times New Roman" w:eastAsia="Times New Roman" w:hAnsi="Times New Roman" w:cs="Times New Roman"/>
        </w:rPr>
        <w:t>with provider impression</w:t>
      </w:r>
      <w:r w:rsidRPr="003F2673">
        <w:rPr>
          <w:rFonts w:ascii="Times New Roman" w:eastAsia="Times New Roman" w:hAnsi="Times New Roman" w:cs="Times New Roman"/>
        </w:rPr>
        <w:t xml:space="preserve"> in undifferentiated pediatric patients</w:t>
      </w:r>
    </w:p>
    <w:p w14:paraId="1810B98D" w14:textId="77777777" w:rsidR="00F26C3A" w:rsidRPr="003F2673" w:rsidRDefault="00F26C3A" w:rsidP="00F26C3A">
      <w:pPr>
        <w:pStyle w:val="ListParagraph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F2673">
        <w:rPr>
          <w:rFonts w:ascii="Times New Roman" w:eastAsia="Times New Roman" w:hAnsi="Times New Roman" w:cs="Times New Roman"/>
        </w:rPr>
        <w:t>Understand how spinal motion restriction protects neurologic and hemodynamic stability</w:t>
      </w:r>
    </w:p>
    <w:p w14:paraId="134629D2" w14:textId="1BC301B3" w:rsidR="00BF49AE" w:rsidRPr="00F26C3A" w:rsidRDefault="00F26C3A" w:rsidP="00F26C3A">
      <w:pPr>
        <w:pStyle w:val="ListParagraph"/>
        <w:keepLines/>
        <w:widowControl w:val="0"/>
        <w:numPr>
          <w:ilvl w:val="0"/>
          <w:numId w:val="16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3F2673">
        <w:rPr>
          <w:rFonts w:ascii="Times New Roman" w:eastAsia="Times New Roman" w:hAnsi="Times New Roman" w:cs="Times New Roman"/>
          <w:color w:val="000000" w:themeColor="text1"/>
        </w:rPr>
        <w:t xml:space="preserve">Review the management of pediatric patients with the provider impression, Cardiac Dysrhythmia-Bradycardia </w:t>
      </w:r>
    </w:p>
    <w:sectPr w:rsidR="00BF49AE" w:rsidRPr="00F26C3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F60F" w14:textId="77777777" w:rsidR="003B4F83" w:rsidRDefault="003B4F83" w:rsidP="008F40ED">
      <w:pPr>
        <w:spacing w:after="0" w:line="240" w:lineRule="auto"/>
      </w:pPr>
      <w:r>
        <w:separator/>
      </w:r>
    </w:p>
  </w:endnote>
  <w:endnote w:type="continuationSeparator" w:id="0">
    <w:p w14:paraId="094DE447" w14:textId="77777777" w:rsidR="003B4F83" w:rsidRDefault="003B4F83" w:rsidP="008F4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B3D4" w14:textId="77777777" w:rsidR="003B4F83" w:rsidRDefault="003B4F83" w:rsidP="008F40ED">
      <w:pPr>
        <w:spacing w:after="0" w:line="240" w:lineRule="auto"/>
      </w:pPr>
      <w:r>
        <w:separator/>
      </w:r>
    </w:p>
  </w:footnote>
  <w:footnote w:type="continuationSeparator" w:id="0">
    <w:p w14:paraId="535AE3F3" w14:textId="77777777" w:rsidR="003B4F83" w:rsidRDefault="003B4F83" w:rsidP="008F4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EDE0" w14:textId="609EA31F" w:rsidR="008F40ED" w:rsidRDefault="008F40ED">
    <w:pPr>
      <w:pStyle w:val="Header"/>
    </w:pPr>
    <w:r>
      <w:t>EmergiPress CE Instruction 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92C75"/>
    <w:multiLevelType w:val="hybridMultilevel"/>
    <w:tmpl w:val="5BBCB1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7D710D"/>
    <w:multiLevelType w:val="hybridMultilevel"/>
    <w:tmpl w:val="899A7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E482A"/>
    <w:multiLevelType w:val="hybridMultilevel"/>
    <w:tmpl w:val="8368C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D614C"/>
    <w:multiLevelType w:val="multilevel"/>
    <w:tmpl w:val="E08608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9A794C"/>
    <w:multiLevelType w:val="hybridMultilevel"/>
    <w:tmpl w:val="5A3C1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D1FE2"/>
    <w:multiLevelType w:val="hybridMultilevel"/>
    <w:tmpl w:val="6D024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▪"/>
      <w:lvlJc w:val="left"/>
      <w:pPr>
        <w:ind w:left="2160" w:hanging="360"/>
      </w:pPr>
      <w:rPr>
        <w:rFonts w:ascii="Noto Sans" w:hAnsi="Noto Sans" w:hint="default"/>
      </w:rPr>
    </w:lvl>
    <w:lvl w:ilvl="3" w:tplc="FFFFFFFF">
      <w:start w:val="1"/>
      <w:numFmt w:val="bullet"/>
      <w:lvlText w:val="●"/>
      <w:lvlJc w:val="left"/>
      <w:pPr>
        <w:ind w:left="2880" w:hanging="360"/>
      </w:pPr>
      <w:rPr>
        <w:rFonts w:ascii="Noto Sans" w:hAnsi="Noto Sans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▪"/>
      <w:lvlJc w:val="left"/>
      <w:pPr>
        <w:ind w:left="4320" w:hanging="360"/>
      </w:pPr>
      <w:rPr>
        <w:rFonts w:ascii="Noto Sans" w:hAnsi="Noto Sans" w:hint="default"/>
      </w:rPr>
    </w:lvl>
    <w:lvl w:ilvl="6" w:tplc="FFFFFFFF">
      <w:start w:val="1"/>
      <w:numFmt w:val="bullet"/>
      <w:lvlText w:val="●"/>
      <w:lvlJc w:val="left"/>
      <w:pPr>
        <w:ind w:left="5040" w:hanging="360"/>
      </w:pPr>
      <w:rPr>
        <w:rFonts w:ascii="Noto Sans" w:hAnsi="Noto Sans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▪"/>
      <w:lvlJc w:val="left"/>
      <w:pPr>
        <w:ind w:left="6480" w:hanging="360"/>
      </w:pPr>
      <w:rPr>
        <w:rFonts w:ascii="Noto Sans" w:hAnsi="Noto Sans" w:hint="default"/>
      </w:rPr>
    </w:lvl>
  </w:abstractNum>
  <w:abstractNum w:abstractNumId="6" w15:restartNumberingAfterBreak="0">
    <w:nsid w:val="49545FEA"/>
    <w:multiLevelType w:val="hybridMultilevel"/>
    <w:tmpl w:val="3EEA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37B10"/>
    <w:multiLevelType w:val="hybridMultilevel"/>
    <w:tmpl w:val="BFA6B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DC0A25"/>
    <w:multiLevelType w:val="hybridMultilevel"/>
    <w:tmpl w:val="9EE2C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B91605"/>
    <w:multiLevelType w:val="hybridMultilevel"/>
    <w:tmpl w:val="892E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540D"/>
    <w:multiLevelType w:val="hybridMultilevel"/>
    <w:tmpl w:val="97E814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717751"/>
    <w:multiLevelType w:val="hybridMultilevel"/>
    <w:tmpl w:val="7BDC08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F60FA8"/>
    <w:multiLevelType w:val="hybridMultilevel"/>
    <w:tmpl w:val="D2BC0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10258D"/>
    <w:multiLevelType w:val="hybridMultilevel"/>
    <w:tmpl w:val="928465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0C0132"/>
    <w:multiLevelType w:val="hybridMultilevel"/>
    <w:tmpl w:val="8690C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1F4514"/>
    <w:multiLevelType w:val="hybridMultilevel"/>
    <w:tmpl w:val="3D80C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151714"/>
    <w:multiLevelType w:val="hybridMultilevel"/>
    <w:tmpl w:val="2160DF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71131206">
    <w:abstractNumId w:val="0"/>
  </w:num>
  <w:num w:numId="2" w16cid:durableId="548952451">
    <w:abstractNumId w:val="1"/>
  </w:num>
  <w:num w:numId="3" w16cid:durableId="480930789">
    <w:abstractNumId w:val="7"/>
  </w:num>
  <w:num w:numId="4" w16cid:durableId="1769547025">
    <w:abstractNumId w:val="8"/>
  </w:num>
  <w:num w:numId="5" w16cid:durableId="500707172">
    <w:abstractNumId w:val="13"/>
  </w:num>
  <w:num w:numId="6" w16cid:durableId="1374692264">
    <w:abstractNumId w:val="15"/>
  </w:num>
  <w:num w:numId="7" w16cid:durableId="26106718">
    <w:abstractNumId w:val="12"/>
  </w:num>
  <w:num w:numId="8" w16cid:durableId="1726684019">
    <w:abstractNumId w:val="9"/>
  </w:num>
  <w:num w:numId="9" w16cid:durableId="333340579">
    <w:abstractNumId w:val="14"/>
  </w:num>
  <w:num w:numId="10" w16cid:durableId="1771661773">
    <w:abstractNumId w:val="6"/>
  </w:num>
  <w:num w:numId="11" w16cid:durableId="131602121">
    <w:abstractNumId w:val="10"/>
  </w:num>
  <w:num w:numId="12" w16cid:durableId="1229069016">
    <w:abstractNumId w:val="16"/>
  </w:num>
  <w:num w:numId="13" w16cid:durableId="1397586067">
    <w:abstractNumId w:val="11"/>
  </w:num>
  <w:num w:numId="14" w16cid:durableId="406457929">
    <w:abstractNumId w:val="4"/>
  </w:num>
  <w:num w:numId="15" w16cid:durableId="849640446">
    <w:abstractNumId w:val="2"/>
  </w:num>
  <w:num w:numId="16" w16cid:durableId="1543635238">
    <w:abstractNumId w:val="5"/>
  </w:num>
  <w:num w:numId="17" w16cid:durableId="2096785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2C9"/>
    <w:rsid w:val="000B280E"/>
    <w:rsid w:val="00106B15"/>
    <w:rsid w:val="001A7E11"/>
    <w:rsid w:val="001B3F4F"/>
    <w:rsid w:val="001F7B34"/>
    <w:rsid w:val="00206FE7"/>
    <w:rsid w:val="0026479A"/>
    <w:rsid w:val="002771D6"/>
    <w:rsid w:val="002B1F2A"/>
    <w:rsid w:val="002B599A"/>
    <w:rsid w:val="002B5CC6"/>
    <w:rsid w:val="002F2042"/>
    <w:rsid w:val="0030741F"/>
    <w:rsid w:val="003B4F83"/>
    <w:rsid w:val="003E056A"/>
    <w:rsid w:val="0054140F"/>
    <w:rsid w:val="0066762F"/>
    <w:rsid w:val="006C2444"/>
    <w:rsid w:val="006C6487"/>
    <w:rsid w:val="00702C5A"/>
    <w:rsid w:val="00750FCA"/>
    <w:rsid w:val="007547F7"/>
    <w:rsid w:val="00760FBB"/>
    <w:rsid w:val="00871972"/>
    <w:rsid w:val="008F40ED"/>
    <w:rsid w:val="00907CFF"/>
    <w:rsid w:val="009567EE"/>
    <w:rsid w:val="0096780B"/>
    <w:rsid w:val="0098193E"/>
    <w:rsid w:val="009A71CD"/>
    <w:rsid w:val="00A41DCE"/>
    <w:rsid w:val="00A71D38"/>
    <w:rsid w:val="00AF41A4"/>
    <w:rsid w:val="00AF52F2"/>
    <w:rsid w:val="00B21452"/>
    <w:rsid w:val="00B3737A"/>
    <w:rsid w:val="00B7025A"/>
    <w:rsid w:val="00BB0F50"/>
    <w:rsid w:val="00BE06A8"/>
    <w:rsid w:val="00BF04D9"/>
    <w:rsid w:val="00BF49AE"/>
    <w:rsid w:val="00C6121F"/>
    <w:rsid w:val="00CC6D2C"/>
    <w:rsid w:val="00D4460A"/>
    <w:rsid w:val="00DA3690"/>
    <w:rsid w:val="00DF5FEE"/>
    <w:rsid w:val="00E47AE0"/>
    <w:rsid w:val="00E81DC6"/>
    <w:rsid w:val="00EC6C2C"/>
    <w:rsid w:val="00ED2CA8"/>
    <w:rsid w:val="00F26C3A"/>
    <w:rsid w:val="00F35F4E"/>
    <w:rsid w:val="00F4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31391"/>
  <w15:chartTrackingRefBased/>
  <w15:docId w15:val="{64EAB7EE-F26D-43F4-AD6C-CCAAAE0E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78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1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40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14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4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40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14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140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0ED"/>
  </w:style>
  <w:style w:type="paragraph" w:styleId="Footer">
    <w:name w:val="footer"/>
    <w:basedOn w:val="Normal"/>
    <w:link w:val="FooterChar"/>
    <w:uiPriority w:val="99"/>
    <w:unhideWhenUsed/>
    <w:rsid w:val="008F40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2026-05-17T21:02:00Z</dcterms:created>
  <dc:creator>Denise Whitfield</dc:creator>
  <cp:lastModifiedBy>Shira Schlesinger</cp:lastModifiedBy>
  <dcterms:modified xsi:type="dcterms:W3CDTF">2026-08-17T23:20:00Z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EmergiPress CE_Instruction Sheet_July_August 2026</vt:lpwstr>
  </property>
  <property pid="4" fmtid="{D5CDD505-2E9C-101B-9397-08002B2CF9AE}" name="sds_subject">
    <vt:lpwstr>EmergiPress CE_Instruction Sheet_July_August 2026</vt:lpwstr>
  </property>
  <property pid="5" fmtid="{D5CDD505-2E9C-101B-9397-08002B2CF9AE}" name="sds_org_subfolder">
    <vt:lpwstr>EMS</vt:lpwstr>
  </property>
  <property pid="6" fmtid="{D5CDD505-2E9C-101B-9397-08002B2CF9AE}" name="sds_org_name">
    <vt:lpwstr>DHS</vt:lpwstr>
  </property>
  <property pid="7" fmtid="{D5CDD505-2E9C-101B-9397-08002B2CF9AE}" name="sds_org_folder">
    <vt:lpwstr>DHS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8/26/2026, 12:00:00 AM</vt:lpwstr>
  </property>
  <property pid="10" fmtid="{D5CDD505-2E9C-101B-9397-08002B2CF9AE}" name="sds_doc_id">
    <vt:lpwstr>1216189</vt:lpwstr>
  </property>
  <property pid="11" fmtid="{D5CDD505-2E9C-101B-9397-08002B2CF9AE}" name="sds_customer_org_name">
    <vt:lpwstr/>
  </property>
  <property pid="12" fmtid="{D5CDD505-2E9C-101B-9397-08002B2CF9AE}" name="object_name">
    <vt:lpwstr>1216189_EmergiPressCE_InstructionSheet_July_August2026.docx</vt:lpwstr>
  </property>
  <property pid="13" fmtid="{D5CDD505-2E9C-101B-9397-08002B2CF9AE}" name="sds_audience_type">
    <vt:lpwstr>All</vt:lpwstr>
  </property>
  <property pid="14" fmtid="{D5CDD505-2E9C-101B-9397-08002B2CF9AE}" name="sds_user_comments">
    <vt:lpwstr/>
  </property>
  <property pid="15" fmtid="{D5CDD505-2E9C-101B-9397-08002B2CF9AE}" name="sds_keywords">
    <vt:lpwstr>EmergiPress</vt:lpwstr>
  </property>
</Properties>
</file>