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279ce0b5368a4303" Target="docProps/app.xml" Type="http://schemas.openxmlformats.org/officeDocument/2006/relationships/extended-properties"/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37CF5562" w:rsidRDefault="00000000" w14:paraId="00000001" w14:textId="271FDB2D">
      <w:pPr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proofErr w:type="spellStart"/>
      <w:r w:rsidRPr="37CF5562" w:rsidR="37CF556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EmergiPress</w:t>
      </w:r>
      <w:proofErr w:type="spellEnd"/>
      <w:r w:rsidRPr="37CF5562" w:rsidR="37CF556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CE Test – January 2023</w:t>
      </w:r>
    </w:p>
    <w:p w:rsidR="37CF5562" w:rsidP="37CF5562" w:rsidRDefault="37CF5562" w14:paraId="54ED5D63" w14:textId="5E0D8C19">
      <w:pPr>
        <w:pStyle w:val="ListParagraph"/>
        <w:numPr>
          <w:ilvl w:val="0"/>
          <w:numId w:val="3"/>
        </w:numPr>
        <w:spacing w:after="160" w:line="256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 14 year old male is a restrained passenger in a traffic collision.  He has multi-system trauma, tachycardic, hypotensive, GCS 4.  His parents/guardians are not present at the scene. What principle allows for emergency care without parental consent?</w:t>
      </w:r>
    </w:p>
    <w:p w:rsidR="37CF5562" w:rsidP="37CF5562" w:rsidRDefault="37CF5562" w14:paraId="280CFC1A" w14:textId="0C8D94AE">
      <w:pPr>
        <w:pStyle w:val="ListParagraph"/>
        <w:numPr>
          <w:ilvl w:val="1"/>
          <w:numId w:val="3"/>
        </w:numPr>
        <w:spacing w:after="160" w:line="256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Emergency consent</w:t>
      </w:r>
    </w:p>
    <w:p w:rsidR="37CF5562" w:rsidP="37CF5562" w:rsidRDefault="37CF5562" w14:paraId="5075B8DE" w14:textId="30F73F9F">
      <w:pPr>
        <w:pStyle w:val="ListParagraph"/>
        <w:numPr>
          <w:ilvl w:val="1"/>
          <w:numId w:val="3"/>
        </w:numPr>
        <w:spacing w:after="160" w:line="256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Implied Consent</w:t>
      </w:r>
    </w:p>
    <w:p w:rsidR="37CF5562" w:rsidP="37CF5562" w:rsidRDefault="37CF5562" w14:paraId="0C50CA8A" w14:textId="0110D959">
      <w:pPr>
        <w:pStyle w:val="ListParagraph"/>
        <w:numPr>
          <w:ilvl w:val="1"/>
          <w:numId w:val="3"/>
        </w:numPr>
        <w:spacing w:after="160" w:line="256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Minor Assent</w:t>
      </w:r>
    </w:p>
    <w:p w:rsidR="37CF5562" w:rsidP="37CF5562" w:rsidRDefault="37CF5562" w14:paraId="427AB2D8" w14:textId="3FDE7AB8">
      <w:pPr>
        <w:pStyle w:val="ListParagraph"/>
        <w:numPr>
          <w:ilvl w:val="1"/>
          <w:numId w:val="3"/>
        </w:numPr>
        <w:spacing w:after="160" w:line="256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Minor Consent</w:t>
      </w:r>
    </w:p>
    <w:p w:rsidR="37CF5562" w:rsidP="37CF5562" w:rsidRDefault="37CF5562" w14:paraId="70B8EDC0" w14:textId="523E10D5">
      <w:pPr>
        <w:pStyle w:val="ListParagraph"/>
        <w:numPr>
          <w:ilvl w:val="0"/>
          <w:numId w:val="3"/>
        </w:numPr>
        <w:spacing w:after="160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Why is it important for medical treatment personnel to obtain minor assent?</w:t>
      </w:r>
    </w:p>
    <w:p w:rsidR="37CF5562" w:rsidP="37CF5562" w:rsidRDefault="37CF5562" w14:paraId="328AE4DF" w14:textId="5F97D219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Care cannot be provided legally without minor assent</w:t>
      </w:r>
    </w:p>
    <w:p w:rsidR="37CF5562" w:rsidP="37CF5562" w:rsidRDefault="37CF5562" w14:paraId="10900656" w14:textId="07CE6B9A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Minor’s wishes are of negligible impact in medical decision making</w:t>
      </w:r>
    </w:p>
    <w:p w:rsidR="37CF5562" w:rsidP="37CF5562" w:rsidRDefault="37CF5562" w14:paraId="6FD43886" w14:textId="30803C7C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Most pediatric patients will not comply with medical treatments</w:t>
      </w:r>
    </w:p>
    <w:p w:rsidR="37CF5562" w:rsidP="37CF5562" w:rsidRDefault="37CF5562" w14:paraId="4EB01716" w14:textId="2E4F6BB6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Obtaining minor assent contributes to patient “buy in”</w:t>
      </w:r>
    </w:p>
    <w:p w:rsidR="37CF5562" w:rsidP="37CF5562" w:rsidRDefault="37CF5562" w14:paraId="5D0E3EC4" w14:textId="1BFA6142">
      <w:pPr>
        <w:pStyle w:val="ListParagraph"/>
        <w:numPr>
          <w:ilvl w:val="0"/>
          <w:numId w:val="3"/>
        </w:numPr>
        <w:spacing w:after="160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What minor patients do not require parental consent for medical care in California?</w:t>
      </w:r>
    </w:p>
    <w:p w:rsidR="37CF5562" w:rsidP="37CF5562" w:rsidRDefault="37CF5562" w14:paraId="2E29F610" w14:textId="0539AC74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Active duty Armed Forces</w:t>
      </w:r>
    </w:p>
    <w:p w:rsidR="37CF5562" w:rsidP="37CF5562" w:rsidRDefault="37CF5562" w14:paraId="3361B149" w14:textId="3D6291B0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Married</w:t>
      </w:r>
    </w:p>
    <w:p w:rsidR="37CF5562" w:rsidP="37CF5562" w:rsidRDefault="37CF5562" w14:paraId="7B6CFCF9" w14:textId="7C5A001B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Pregnant</w:t>
      </w:r>
    </w:p>
    <w:p w:rsidR="37CF5562" w:rsidP="37CF5562" w:rsidRDefault="37CF5562" w14:paraId="3C95FA75" w14:textId="7BE94B84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All of the above</w:t>
      </w:r>
    </w:p>
    <w:p w:rsidR="37CF5562" w:rsidP="37CF5562" w:rsidRDefault="37CF5562" w14:paraId="68ADBC76" w14:textId="2923A4AA">
      <w:pPr>
        <w:pStyle w:val="ListParagraph"/>
        <w:numPr>
          <w:ilvl w:val="0"/>
          <w:numId w:val="3"/>
        </w:numPr>
        <w:spacing w:after="160" w:line="259" w:lineRule="auto"/>
        <w:ind w:left="36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 what lead would reciprocal changes be seen in an anterior myocardial infarction?</w:t>
      </w:r>
    </w:p>
    <w:p w:rsidR="37CF5562" w:rsidP="37CF5562" w:rsidRDefault="37CF5562" w14:paraId="5D13C724" w14:textId="01DB1183">
      <w:pPr>
        <w:pStyle w:val="ListParagraph"/>
        <w:numPr>
          <w:ilvl w:val="1"/>
          <w:numId w:val="3"/>
        </w:numPr>
        <w:spacing w:after="160" w:line="259" w:lineRule="auto"/>
        <w:ind w:left="1080" w:hanging="3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Anterior</w:t>
      </w:r>
    </w:p>
    <w:p w:rsidR="37CF5562" w:rsidP="37CF5562" w:rsidRDefault="37CF5562" w14:paraId="1DCA7B29" w14:textId="0B0429FA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Inferior</w:t>
      </w:r>
    </w:p>
    <w:p w:rsidR="37CF5562" w:rsidP="37CF5562" w:rsidRDefault="37CF5562" w14:paraId="5FEBB645" w14:textId="40B03770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Lateral</w:t>
      </w:r>
    </w:p>
    <w:p w:rsidR="37CF5562" w:rsidP="37CF5562" w:rsidRDefault="37CF5562" w14:paraId="2188047A" w14:textId="25757D84">
      <w:pPr>
        <w:pStyle w:val="ListParagraph"/>
        <w:numPr>
          <w:ilvl w:val="1"/>
          <w:numId w:val="3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Posterior</w:t>
      </w:r>
    </w:p>
    <w:p w:rsidR="37CF5562" w:rsidP="37CF5562" w:rsidRDefault="37CF5562" w14:paraId="42DAC26C" w14:textId="14EC6AE9">
      <w:pPr>
        <w:pStyle w:val="Normal"/>
        <w:spacing w:after="160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5. By definition, a BRUE can occur in pediatric patients of what age range?</w:t>
      </w:r>
    </w:p>
    <w:p w:rsidR="37CF5562" w:rsidP="37CF5562" w:rsidRDefault="37CF5562" w14:paraId="07338680" w14:textId="46B6034A">
      <w:pPr>
        <w:pStyle w:val="ListParagraph"/>
        <w:numPr>
          <w:ilvl w:val="0"/>
          <w:numId w:val="5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&lt; 6 months</w:t>
      </w:r>
    </w:p>
    <w:p w:rsidR="37CF5562" w:rsidP="37CF5562" w:rsidRDefault="37CF5562" w14:paraId="0208520F" w14:textId="5484E74B">
      <w:pPr>
        <w:pStyle w:val="ListParagraph"/>
        <w:numPr>
          <w:ilvl w:val="0"/>
          <w:numId w:val="5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&lt; 1 year</w:t>
      </w:r>
    </w:p>
    <w:p w:rsidR="37CF5562" w:rsidP="37CF5562" w:rsidRDefault="37CF5562" w14:paraId="10250A71" w14:textId="54F8B882">
      <w:pPr>
        <w:pStyle w:val="ListParagraph"/>
        <w:numPr>
          <w:ilvl w:val="0"/>
          <w:numId w:val="5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&lt; 2 years</w:t>
      </w:r>
    </w:p>
    <w:p w:rsidR="37CF5562" w:rsidP="37CF5562" w:rsidRDefault="37CF5562" w14:paraId="08DB22AB" w14:textId="551D7528">
      <w:pPr>
        <w:pStyle w:val="ListParagraph"/>
        <w:numPr>
          <w:ilvl w:val="0"/>
          <w:numId w:val="5"/>
        </w:numPr>
        <w:spacing w:after="160" w:line="259" w:lineRule="auto"/>
        <w:ind w:left="108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7CF5562" w:rsidR="37CF5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&lt; 3 years</w:t>
      </w:r>
    </w:p>
    <w:p w:rsidR="37CF5562" w:rsidP="37CF5562" w:rsidRDefault="37CF5562" w14:paraId="6A565CEA" w14:textId="53CCEF63">
      <w:pPr>
        <w:pStyle w:val="Normal"/>
        <w:spacing w:line="259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rtl w:val="0"/>
        </w:rPr>
      </w:pPr>
    </w:p>
    <w:sectPr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MT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5">
    <w:nsid w:val="89f155c"/>
    <w:multiLevelType w:val="hybridMultilevel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586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929ae2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  <w:nsid w:val="731b12cf"/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  <w:nsid w:val="53fcf8ab"/>
  </w:abstract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37CF5562"/>
    <w:rsid w:val="37CF5562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B0E9B"/>
    <w:pPr>
      <w:spacing w:line="25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82AA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A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A15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A1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A153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A153A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1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2A8"/>
  </w:style>
  <w:style w:type="paragraph" w:styleId="Footer">
    <w:name w:val="footer"/>
    <w:basedOn w:val="Normal"/>
    <w:link w:val="FooterChar"/>
    <w:uiPriority w:val="99"/>
    <w:unhideWhenUsed w:val="1"/>
    <w:rsid w:val="000B22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2A8"/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p35r5/KNGzMqMUERfbI2K6Sdjg==">AMUW2mXpHvvydUsiRDi2gpY3N1gPtZYoEiZfnjR/RWSiZz9XMO6n6eY1ircqbxRmzODnBmaMaKJiR9G96jKvlLAeDSlKDm3mH7Nam1SxHcyItGBwhDz6gaM=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2020-09-28T16:43:00Z</dcterms:created>
  <dc:creator>Denise Whitfield</dc:creator>
  <cp:lastModifiedBy>Denise Whitfield</cp:lastModifiedBy>
  <dcterms:modified xsi:type="dcterms:W3CDTF">2022-12-28T01:06:19Z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EmergiPress CE Test January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1/9/2023 12:00:00 AM</vt:lpwstr>
  </property>
  <property pid="10" fmtid="{D5CDD505-2E9C-101B-9397-08002B2CF9AE}" name="sds_doc_id">
    <vt:lpwstr>1135762</vt:lpwstr>
  </property>
  <property pid="11" fmtid="{D5CDD505-2E9C-101B-9397-08002B2CF9AE}" name="sds_customer_org_name">
    <vt:lpwstr/>
  </property>
  <property pid="12" fmtid="{D5CDD505-2E9C-101B-9397-08002B2CF9AE}" name="object_name">
    <vt:lpwstr>1135762_EmergiPressCETestJanuary2023.docx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