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75" w:rsidRDefault="005A2875" w:rsidP="007764B7">
      <w:pPr>
        <w:jc w:val="center"/>
        <w:rPr>
          <w:rFonts w:ascii="Arial" w:hAnsi="Arial" w:cs="Arial"/>
          <w:b/>
          <w:sz w:val="28"/>
          <w:szCs w:val="28"/>
        </w:rPr>
      </w:pPr>
    </w:p>
    <w:p w:rsidR="007764B7" w:rsidRPr="007764B7" w:rsidRDefault="004D5B78" w:rsidP="00776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MICN Recertification </w:t>
      </w:r>
      <w:r w:rsidR="00254BF0">
        <w:rPr>
          <w:rFonts w:ascii="Arial" w:hAnsi="Arial" w:cs="Arial"/>
          <w:b/>
          <w:sz w:val="28"/>
          <w:szCs w:val="28"/>
        </w:rPr>
        <w:t>Field Observation</w:t>
      </w:r>
    </w:p>
    <w:p w:rsidR="007764B7" w:rsidRDefault="007764B7">
      <w:pPr>
        <w:rPr>
          <w:rFonts w:ascii="Arial" w:hAnsi="Arial" w:cs="Arial"/>
        </w:rPr>
      </w:pPr>
    </w:p>
    <w:p w:rsidR="00254BF0" w:rsidRPr="007764B7" w:rsidRDefault="00254BF0">
      <w:pPr>
        <w:rPr>
          <w:rFonts w:ascii="Arial" w:hAnsi="Arial" w:cs="Arial"/>
        </w:rPr>
      </w:pPr>
    </w:p>
    <w:p w:rsidR="00254BF0" w:rsidRDefault="00254BF0" w:rsidP="006C5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Field observation provides </w:t>
      </w:r>
      <w:r w:rsidR="007764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764B7">
        <w:rPr>
          <w:rFonts w:ascii="Arial" w:hAnsi="Arial" w:cs="Arial"/>
        </w:rPr>
        <w:t>learning opportunity and pro</w:t>
      </w:r>
      <w:r>
        <w:rPr>
          <w:rFonts w:ascii="Arial" w:hAnsi="Arial" w:cs="Arial"/>
        </w:rPr>
        <w:t xml:space="preserve">motes </w:t>
      </w:r>
      <w:r w:rsidR="007764B7">
        <w:rPr>
          <w:rFonts w:ascii="Arial" w:hAnsi="Arial" w:cs="Arial"/>
        </w:rPr>
        <w:t>interaction w</w:t>
      </w:r>
      <w:r w:rsidR="005A2875">
        <w:rPr>
          <w:rFonts w:ascii="Arial" w:hAnsi="Arial" w:cs="Arial"/>
        </w:rPr>
        <w:t>ith other members of the health</w:t>
      </w:r>
      <w:r w:rsidR="007764B7">
        <w:rPr>
          <w:rFonts w:ascii="Arial" w:hAnsi="Arial" w:cs="Arial"/>
        </w:rPr>
        <w:t>care team</w:t>
      </w:r>
      <w:r w:rsidR="00F23AA0">
        <w:rPr>
          <w:rFonts w:ascii="Arial" w:hAnsi="Arial" w:cs="Arial"/>
        </w:rPr>
        <w:t xml:space="preserve">.  The experience should be structured to expose the </w:t>
      </w:r>
      <w:r w:rsidR="00F911CC">
        <w:rPr>
          <w:rFonts w:ascii="Arial" w:hAnsi="Arial" w:cs="Arial"/>
        </w:rPr>
        <w:t>learner</w:t>
      </w:r>
      <w:r w:rsidR="00F23AA0">
        <w:rPr>
          <w:rFonts w:ascii="Arial" w:hAnsi="Arial" w:cs="Arial"/>
        </w:rPr>
        <w:t xml:space="preserve"> to </w:t>
      </w:r>
      <w:r w:rsidR="00F911CC">
        <w:rPr>
          <w:rFonts w:ascii="Arial" w:hAnsi="Arial" w:cs="Arial"/>
        </w:rPr>
        <w:t xml:space="preserve">the scope of practice of paramedics and what the role </w:t>
      </w:r>
      <w:r w:rsidR="00E81D81">
        <w:rPr>
          <w:rFonts w:ascii="Arial" w:hAnsi="Arial" w:cs="Arial"/>
        </w:rPr>
        <w:t>paramedics,</w:t>
      </w:r>
      <w:r w:rsidR="00F911CC">
        <w:rPr>
          <w:rFonts w:ascii="Arial" w:hAnsi="Arial" w:cs="Arial"/>
        </w:rPr>
        <w:t xml:space="preserve"> MICN</w:t>
      </w:r>
      <w:r w:rsidR="00E81D81">
        <w:rPr>
          <w:rFonts w:ascii="Arial" w:hAnsi="Arial" w:cs="Arial"/>
        </w:rPr>
        <w:t>s</w:t>
      </w:r>
      <w:r w:rsidR="00F911CC">
        <w:rPr>
          <w:rFonts w:ascii="Arial" w:hAnsi="Arial" w:cs="Arial"/>
        </w:rPr>
        <w:t xml:space="preserve"> and EMT</w:t>
      </w:r>
      <w:r w:rsidR="00E81D81">
        <w:rPr>
          <w:rFonts w:ascii="Arial" w:hAnsi="Arial" w:cs="Arial"/>
        </w:rPr>
        <w:t>s</w:t>
      </w:r>
      <w:r w:rsidR="00F911CC">
        <w:rPr>
          <w:rFonts w:ascii="Arial" w:hAnsi="Arial" w:cs="Arial"/>
        </w:rPr>
        <w:t xml:space="preserve"> play in prehospital patient care. </w:t>
      </w:r>
    </w:p>
    <w:p w:rsidR="00254BF0" w:rsidRDefault="00254BF0" w:rsidP="006C5858">
      <w:pPr>
        <w:jc w:val="both"/>
        <w:rPr>
          <w:rFonts w:ascii="Arial" w:hAnsi="Arial" w:cs="Arial"/>
        </w:rPr>
      </w:pPr>
      <w:bookmarkStart w:id="0" w:name="_GoBack"/>
      <w:bookmarkEnd w:id="0"/>
    </w:p>
    <w:p w:rsidR="006C5858" w:rsidRDefault="006C5858" w:rsidP="006C5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CE provider must have predefined objectives and measurement instruments to document the various learning experiences in order to issue appropriate continuing education credit.</w:t>
      </w:r>
    </w:p>
    <w:p w:rsidR="006C5858" w:rsidRDefault="006C5858">
      <w:pPr>
        <w:rPr>
          <w:rFonts w:ascii="Arial" w:hAnsi="Arial" w:cs="Arial"/>
        </w:rPr>
      </w:pPr>
    </w:p>
    <w:p w:rsidR="00E81D81" w:rsidRDefault="00F911CC" w:rsidP="00E81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Field Observation experience </w:t>
      </w:r>
      <w:r w:rsidR="00E81D81">
        <w:rPr>
          <w:rFonts w:ascii="Arial" w:hAnsi="Arial" w:cs="Arial"/>
        </w:rPr>
        <w:t>for the MICN should include, but is not limited to:</w:t>
      </w:r>
    </w:p>
    <w:p w:rsidR="00E81D81" w:rsidRPr="00C34CFE" w:rsidRDefault="00E81D81" w:rsidP="00E81D81">
      <w:pPr>
        <w:tabs>
          <w:tab w:val="left" w:pos="720"/>
          <w:tab w:val="left" w:pos="1080"/>
        </w:tabs>
        <w:rPr>
          <w:rFonts w:ascii="Arial" w:hAnsi="Arial" w:cs="Arial"/>
          <w:sz w:val="16"/>
          <w:szCs w:val="16"/>
        </w:rPr>
      </w:pPr>
    </w:p>
    <w:p w:rsidR="00582B44" w:rsidRDefault="00E81D81" w:rsidP="0042238C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</w:r>
      <w:r w:rsidR="0042238C">
        <w:rPr>
          <w:rFonts w:ascii="Arial" w:hAnsi="Arial" w:cs="Arial"/>
        </w:rPr>
        <w:t>Identif</w:t>
      </w:r>
      <w:r w:rsidR="00A24415">
        <w:rPr>
          <w:rFonts w:ascii="Arial" w:hAnsi="Arial" w:cs="Arial"/>
        </w:rPr>
        <w:t>ication of</w:t>
      </w:r>
      <w:r w:rsidR="0042238C">
        <w:rPr>
          <w:rFonts w:ascii="Arial" w:hAnsi="Arial" w:cs="Arial"/>
        </w:rPr>
        <w:t xml:space="preserve"> the communication patterns and roles/responsibilities of prehospital care personnel</w:t>
      </w:r>
    </w:p>
    <w:p w:rsidR="00582B44" w:rsidRDefault="00582B44">
      <w:pPr>
        <w:rPr>
          <w:rFonts w:ascii="Arial" w:hAnsi="Arial" w:cs="Arial"/>
        </w:rPr>
      </w:pPr>
    </w:p>
    <w:p w:rsidR="00E81D81" w:rsidRDefault="00E81D81" w:rsidP="00E81D8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Familiarization of area hospitals and response district</w:t>
      </w:r>
    </w:p>
    <w:p w:rsidR="00582B44" w:rsidRDefault="00582B44">
      <w:pPr>
        <w:rPr>
          <w:rFonts w:ascii="Arial" w:hAnsi="Arial" w:cs="Arial"/>
        </w:rPr>
      </w:pPr>
    </w:p>
    <w:p w:rsidR="00E81D81" w:rsidRDefault="00E81D81" w:rsidP="00E81D8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 xml:space="preserve">Observation of drills/demonstrations related to </w:t>
      </w:r>
      <w:smartTag w:uri="urn:schemas-microsoft-com:office:smarttags" w:element="place">
        <w:r>
          <w:rPr>
            <w:rFonts w:ascii="Arial" w:hAnsi="Arial" w:cs="Arial"/>
          </w:rPr>
          <w:t>EMS</w:t>
        </w:r>
      </w:smartTag>
    </w:p>
    <w:p w:rsidR="00582B44" w:rsidRDefault="00582B44">
      <w:pPr>
        <w:rPr>
          <w:rFonts w:ascii="Arial" w:hAnsi="Arial" w:cs="Arial"/>
        </w:rPr>
      </w:pPr>
    </w:p>
    <w:p w:rsidR="00E81D81" w:rsidRDefault="00E81D81" w:rsidP="00E81D8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 xml:space="preserve">Observation of </w:t>
      </w:r>
      <w:r w:rsidR="00A07196">
        <w:rPr>
          <w:rFonts w:ascii="Arial" w:hAnsi="Arial" w:cs="Arial"/>
        </w:rPr>
        <w:t xml:space="preserve">scene safety, </w:t>
      </w:r>
      <w:r>
        <w:rPr>
          <w:rFonts w:ascii="Arial" w:hAnsi="Arial" w:cs="Arial"/>
        </w:rPr>
        <w:t>patient assessment</w:t>
      </w:r>
      <w:r w:rsidR="00A071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care provided</w:t>
      </w:r>
    </w:p>
    <w:p w:rsidR="00582B44" w:rsidRDefault="00582B44">
      <w:pPr>
        <w:rPr>
          <w:rFonts w:ascii="Arial" w:hAnsi="Arial" w:cs="Arial"/>
        </w:rPr>
      </w:pPr>
    </w:p>
    <w:p w:rsidR="00E81D81" w:rsidRDefault="00E81D81" w:rsidP="00A07196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</w:r>
      <w:r w:rsidR="00A07196">
        <w:rPr>
          <w:rFonts w:ascii="Arial" w:hAnsi="Arial" w:cs="Arial"/>
        </w:rPr>
        <w:t>Discussion of patient assessment, treatment and applicable policies following each response</w:t>
      </w:r>
    </w:p>
    <w:p w:rsidR="00A07196" w:rsidRDefault="00A07196" w:rsidP="00A07196">
      <w:pPr>
        <w:tabs>
          <w:tab w:val="left" w:pos="360"/>
        </w:tabs>
        <w:ind w:left="720" w:hanging="720"/>
        <w:rPr>
          <w:rFonts w:ascii="Arial" w:hAnsi="Arial" w:cs="Arial"/>
        </w:rPr>
      </w:pPr>
    </w:p>
    <w:p w:rsidR="00A07196" w:rsidRDefault="00A07196" w:rsidP="00A07196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rPr>
          <w:rFonts w:ascii="Arial" w:hAnsi="Arial" w:cs="Arial"/>
        </w:rPr>
        <w:tab/>
        <w:t>Discussion of possible hospital treatment for patient transported</w:t>
      </w:r>
    </w:p>
    <w:p w:rsidR="00F911CC" w:rsidRDefault="00F911CC">
      <w:pPr>
        <w:rPr>
          <w:rFonts w:ascii="Arial" w:hAnsi="Arial" w:cs="Arial"/>
        </w:rPr>
      </w:pPr>
    </w:p>
    <w:p w:rsidR="007764B7" w:rsidRDefault="00904009" w:rsidP="00C34CFE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Prediscussion is mandatory to define objectives and ensure </w:t>
      </w:r>
      <w:r w:rsidR="00977A18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 structured </w:t>
      </w:r>
      <w:r w:rsidR="00F911CC">
        <w:rPr>
          <w:rFonts w:ascii="Arial" w:hAnsi="Arial" w:cs="Arial"/>
        </w:rPr>
        <w:t>field observation</w:t>
      </w:r>
      <w:r>
        <w:rPr>
          <w:rFonts w:ascii="Arial" w:hAnsi="Arial" w:cs="Arial"/>
        </w:rPr>
        <w:t xml:space="preserve"> experience is provided.</w:t>
      </w:r>
      <w:r w:rsidR="00977A18">
        <w:rPr>
          <w:rFonts w:ascii="Arial" w:hAnsi="Arial" w:cs="Arial"/>
        </w:rPr>
        <w:t xml:space="preserve">  Prediscussion may only be held with the CE Provider’s program director or clinical director.</w:t>
      </w:r>
    </w:p>
    <w:p w:rsidR="00977A18" w:rsidRDefault="00977A18" w:rsidP="00C34CFE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977A18" w:rsidRDefault="00977A18" w:rsidP="00C34CFE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The objectives listed on the “</w:t>
      </w:r>
      <w:r w:rsidR="0042238C">
        <w:rPr>
          <w:rFonts w:ascii="Arial" w:hAnsi="Arial" w:cs="Arial"/>
        </w:rPr>
        <w:t xml:space="preserve">MICN Recertification </w:t>
      </w:r>
      <w:r w:rsidR="00F911CC">
        <w:rPr>
          <w:rFonts w:ascii="Arial" w:hAnsi="Arial" w:cs="Arial"/>
        </w:rPr>
        <w:t xml:space="preserve">Field Observation CE </w:t>
      </w:r>
      <w:r>
        <w:rPr>
          <w:rFonts w:ascii="Arial" w:hAnsi="Arial" w:cs="Arial"/>
        </w:rPr>
        <w:t xml:space="preserve">Documentation” form may be used or other objectives substituted that may </w:t>
      </w:r>
      <w:r w:rsidR="00F911CC">
        <w:rPr>
          <w:rFonts w:ascii="Arial" w:hAnsi="Arial" w:cs="Arial"/>
        </w:rPr>
        <w:t>be mo</w:t>
      </w:r>
      <w:r>
        <w:rPr>
          <w:rFonts w:ascii="Arial" w:hAnsi="Arial" w:cs="Arial"/>
        </w:rPr>
        <w:t>re pertinent to meet the needs of the learner</w:t>
      </w:r>
      <w:r w:rsidR="00F911CC">
        <w:rPr>
          <w:rFonts w:ascii="Arial" w:hAnsi="Arial" w:cs="Arial"/>
        </w:rPr>
        <w:t>.</w:t>
      </w:r>
    </w:p>
    <w:p w:rsidR="00977A18" w:rsidRDefault="00977A18" w:rsidP="00C34CFE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E81D81" w:rsidRDefault="00E81D81" w:rsidP="00C34CFE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E81D81" w:rsidRDefault="00E81D81" w:rsidP="00E81D81">
      <w:pPr>
        <w:tabs>
          <w:tab w:val="left" w:pos="720"/>
          <w:tab w:val="left" w:pos="1080"/>
        </w:tabs>
        <w:rPr>
          <w:rFonts w:ascii="Arial" w:hAnsi="Arial" w:cs="Arial"/>
        </w:rPr>
      </w:pPr>
      <w:r w:rsidRPr="00977EFA">
        <w:rPr>
          <w:rFonts w:ascii="Arial" w:hAnsi="Arial" w:cs="Arial"/>
          <w:b/>
        </w:rPr>
        <w:t>Documents required for obtaining continuing education credit</w:t>
      </w:r>
      <w:r>
        <w:rPr>
          <w:rFonts w:ascii="Arial" w:hAnsi="Arial" w:cs="Arial"/>
        </w:rPr>
        <w:t>:</w:t>
      </w:r>
    </w:p>
    <w:p w:rsidR="00E81D81" w:rsidRDefault="00E81D81" w:rsidP="00E81D81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E81D81" w:rsidRDefault="00E81D81" w:rsidP="00E81D81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The MICN must complete the following in order to receive continuing education credit:</w:t>
      </w:r>
    </w:p>
    <w:p w:rsidR="00E81D81" w:rsidRDefault="00E81D81" w:rsidP="00E81D81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E81D81" w:rsidRDefault="00E81D81" w:rsidP="00E81D81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tab/>
      </w:r>
      <w:r w:rsidRPr="000A5DB2">
        <w:rPr>
          <w:rFonts w:ascii="Arial" w:hAnsi="Arial" w:cs="Arial"/>
        </w:rPr>
        <w:t>The “Results</w:t>
      </w:r>
      <w:r>
        <w:rPr>
          <w:rFonts w:ascii="Arial" w:hAnsi="Arial" w:cs="Arial"/>
        </w:rPr>
        <w:t xml:space="preserve"> of Experience” section for each objective prediscussed.  The comments must reflect the experience and how the objective was met to appropriately document the learning experience.</w:t>
      </w:r>
    </w:p>
    <w:p w:rsidR="00E81D81" w:rsidRPr="000A5DB2" w:rsidRDefault="00E81D81" w:rsidP="00E81D81">
      <w:pPr>
        <w:tabs>
          <w:tab w:val="left" w:pos="720"/>
          <w:tab w:val="left" w:pos="1080"/>
        </w:tabs>
        <w:rPr>
          <w:rFonts w:ascii="Arial" w:hAnsi="Arial" w:cs="Arial"/>
          <w:sz w:val="8"/>
          <w:szCs w:val="8"/>
        </w:rPr>
      </w:pPr>
    </w:p>
    <w:p w:rsidR="00E81D81" w:rsidRDefault="00E81D81" w:rsidP="00E81D81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tab/>
      </w:r>
      <w:r w:rsidR="0042238C">
        <w:rPr>
          <w:rFonts w:ascii="Arial" w:hAnsi="Arial" w:cs="Arial"/>
        </w:rPr>
        <w:t>Field Observation</w:t>
      </w:r>
      <w:r>
        <w:rPr>
          <w:rFonts w:ascii="Arial" w:hAnsi="Arial" w:cs="Arial"/>
        </w:rPr>
        <w:t xml:space="preserve"> </w:t>
      </w:r>
      <w:r w:rsidR="0042238C">
        <w:rPr>
          <w:rFonts w:ascii="Arial" w:hAnsi="Arial" w:cs="Arial"/>
        </w:rPr>
        <w:t>p</w:t>
      </w:r>
      <w:r>
        <w:rPr>
          <w:rFonts w:ascii="Arial" w:hAnsi="Arial" w:cs="Arial"/>
        </w:rPr>
        <w:t>receptor evaluation</w:t>
      </w:r>
    </w:p>
    <w:p w:rsidR="0042238C" w:rsidRPr="000A5DB2" w:rsidRDefault="0042238C" w:rsidP="0042238C">
      <w:pPr>
        <w:tabs>
          <w:tab w:val="left" w:pos="720"/>
          <w:tab w:val="left" w:pos="1080"/>
        </w:tabs>
        <w:rPr>
          <w:rFonts w:ascii="Arial" w:hAnsi="Arial" w:cs="Arial"/>
          <w:sz w:val="8"/>
          <w:szCs w:val="8"/>
        </w:rPr>
      </w:pPr>
    </w:p>
    <w:p w:rsidR="0042238C" w:rsidRDefault="0042238C" w:rsidP="0042238C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t>•</w:t>
      </w:r>
      <w:r>
        <w:tab/>
        <w:t>C</w:t>
      </w:r>
      <w:r>
        <w:rPr>
          <w:rFonts w:ascii="Arial" w:hAnsi="Arial" w:cs="Arial"/>
        </w:rPr>
        <w:t>omplete a course roster</w:t>
      </w:r>
    </w:p>
    <w:sectPr w:rsidR="0042238C" w:rsidSect="005A2875">
      <w:pgSz w:w="12240" w:h="15840" w:code="1"/>
      <w:pgMar w:top="1080" w:right="1440" w:bottom="72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B9" w:rsidRDefault="00A241B9">
      <w:r>
        <w:separator/>
      </w:r>
    </w:p>
  </w:endnote>
  <w:endnote w:type="continuationSeparator" w:id="0">
    <w:p w:rsidR="00A241B9" w:rsidRDefault="00A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B9" w:rsidRDefault="00A241B9">
      <w:r>
        <w:separator/>
      </w:r>
    </w:p>
  </w:footnote>
  <w:footnote w:type="continuationSeparator" w:id="0">
    <w:p w:rsidR="00A241B9" w:rsidRDefault="00A2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A"/>
    <w:rsid w:val="00130FF5"/>
    <w:rsid w:val="00230842"/>
    <w:rsid w:val="00237221"/>
    <w:rsid w:val="0025324B"/>
    <w:rsid w:val="00254BF0"/>
    <w:rsid w:val="00262A0F"/>
    <w:rsid w:val="002A4987"/>
    <w:rsid w:val="002B5EE1"/>
    <w:rsid w:val="0042238C"/>
    <w:rsid w:val="004804B0"/>
    <w:rsid w:val="004D5B78"/>
    <w:rsid w:val="00532E76"/>
    <w:rsid w:val="00563E54"/>
    <w:rsid w:val="0056750B"/>
    <w:rsid w:val="00582B44"/>
    <w:rsid w:val="005A2875"/>
    <w:rsid w:val="006A238F"/>
    <w:rsid w:val="006C5858"/>
    <w:rsid w:val="006D774C"/>
    <w:rsid w:val="007340CD"/>
    <w:rsid w:val="007764B7"/>
    <w:rsid w:val="00785EF7"/>
    <w:rsid w:val="00832A01"/>
    <w:rsid w:val="008D2B77"/>
    <w:rsid w:val="00904009"/>
    <w:rsid w:val="00977A18"/>
    <w:rsid w:val="00A07196"/>
    <w:rsid w:val="00A164DA"/>
    <w:rsid w:val="00A241B9"/>
    <w:rsid w:val="00A24415"/>
    <w:rsid w:val="00A35086"/>
    <w:rsid w:val="00A72F87"/>
    <w:rsid w:val="00AA11EA"/>
    <w:rsid w:val="00B7341F"/>
    <w:rsid w:val="00C34CFE"/>
    <w:rsid w:val="00C6551A"/>
    <w:rsid w:val="00CB1135"/>
    <w:rsid w:val="00D1410B"/>
    <w:rsid w:val="00DB563B"/>
    <w:rsid w:val="00DE21BB"/>
    <w:rsid w:val="00DE69D8"/>
    <w:rsid w:val="00E81D81"/>
    <w:rsid w:val="00EC0607"/>
    <w:rsid w:val="00ED44FD"/>
    <w:rsid w:val="00EE587A"/>
    <w:rsid w:val="00F23AA0"/>
    <w:rsid w:val="00F24F98"/>
    <w:rsid w:val="00F61F55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DD9CE10-AAD6-40C2-9F29-F65251A2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4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1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1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webSettings.xml" Type="http://schemas.openxmlformats.org/officeDocument/2006/relationships/webSettings" Id="rId3"/>
    <Relationship Target="footnotes.xml" Type="http://schemas.openxmlformats.org/officeDocument/2006/relationships/footnotes" Id="rId4"/>
    <Relationship Target="endnotes.xml" Type="http://schemas.openxmlformats.org/officeDocument/2006/relationships/endnotes" Id="rId5"/>
    <Relationship Target="fontTable.xml" Type="http://schemas.openxmlformats.org/officeDocument/2006/relationships/fontTable" Id="rId6"/>
    <Relationship Target="theme/theme1.xml" Type="http://schemas.openxmlformats.org/officeDocument/2006/relationships/theme" Id="rId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Experience</vt:lpstr>
    </vt:vector>
  </TitlesOfParts>
  <Company>EMS Agency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2018-09-24T19:19:00Z</dcterms:created>
  <dc:creator>ereich</dc:creator>
  <lastModifiedBy>David Wells</lastModifiedBy>
  <lastPrinted>2006-11-22T17:40:00Z</lastPrinted>
  <dcterms:modified xsi:type="dcterms:W3CDTF">2018-09-24T19:19:00Z</dcterms:modified>
  <revision>2</revision>
  <dc:title>Clinical Experience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MICNFieldInfo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1044874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1044874_MICNFieldInfo.docx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