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EmergiPress Continuing Education – 1 Unit CE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March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EmergiPress Education Newsletter is and educational offering provided by the Los Angeles County EMS Agency.  Completing all sections should take approximately 1 hour.  After completing the sections, the corresponding EmergiPress test can be completed and submitted for 1 unit CE through your provider agency continuing education coordinator.  A passing score of 80% and completion of a course evaluation is required for CE credit.  Students must also sign-in on an EMS CE Roster or take course via a LMS to track completion.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Objectives: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Upon completing this activity the participant will be able to: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Case of the Month – Mechanical Circulatory Support Devices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types of mechanical circulatory support devices EMS may encounter in Los Angeles County.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operation of a mechanical circulatory support device and how it affects patient assessment (i.e. obtaining vital signs).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conditions that patients with mechanical circulation devices are at risk for.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role of a mechanical circulatory support device coordinator and when they should be contacted.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​device securing considerations when transporting a patient with a mechanical circulatory support device.  </w:t>
      </w:r>
    </w:p>
    <w:p w:rsidR="00000000" w:rsidDel="00000000" w:rsidP="00000000" w:rsidRDefault="00000000" w:rsidRPr="00000000" w14:paraId="0000000C">
      <w:pPr>
        <w:spacing w:after="0" w:line="252.00000000000003" w:lineRule="auto"/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ECG of the Month – Ventricular Bigeminy</w:t>
      </w:r>
    </w:p>
    <w:p w:rsidR="00000000" w:rsidDel="00000000" w:rsidP="00000000" w:rsidRDefault="00000000" w:rsidRPr="00000000" w14:paraId="0000000D">
      <w:pPr>
        <w:spacing w:after="0" w:line="252.00000000000003" w:lineRule="auto"/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ventricular bigeminy on ECG.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ventricular bigeminy as a typically benign alternating normal sinus beats with premature ventricular contractions.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most common causes of ventricular bigeminy.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cardiac dysrhythmias that may rarely evolve from ventricular bigeminy and the importance of patient monitoring during transport.</w:t>
      </w:r>
    </w:p>
    <w:p w:rsidR="00000000" w:rsidDel="00000000" w:rsidP="00000000" w:rsidRDefault="00000000" w:rsidRPr="00000000" w14:paraId="00000012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Video of the Month - Mechanical Circulatory Support Devices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mechanical circulatory support devices EMS may encounter in LA County and their functionality.</w:t>
      </w:r>
    </w:p>
    <w:p w:rsidR="00000000" w:rsidDel="00000000" w:rsidP="00000000" w:rsidRDefault="00000000" w:rsidRPr="00000000" w14:paraId="00000014">
      <w:pPr>
        <w:spacing w:after="0" w:line="252.0000000000000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control panel for the Heart Mate II, Heart Mate 3, and HeartWare HVAD/Medtronic HVAD mechanical circulatory support devices.</w:t>
      </w:r>
    </w:p>
    <w:p w:rsidR="00000000" w:rsidDel="00000000" w:rsidP="00000000" w:rsidRDefault="00000000" w:rsidRPr="00000000" w14:paraId="00000016">
      <w:pPr>
        <w:spacing w:after="0" w:line="252.0000000000000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how to assess circulation, airway, breathing and device for a mechanical circulatory support device patient.</w:t>
      </w:r>
    </w:p>
    <w:p w:rsidR="00000000" w:rsidDel="00000000" w:rsidP="00000000" w:rsidRDefault="00000000" w:rsidRPr="00000000" w14:paraId="00000018">
      <w:pPr>
        <w:spacing w:after="0" w:line="252.0000000000000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specific treatments that are contraindicated in specific mechanical circulatory support device patients [e.g. nitroglycerin contraindicated for Left Ventricular Assist Device (LVAD), epinephrine, chest compressions and defibrillation contraindicated for Total Artificial Heart (TAH) patients].</w:t>
      </w:r>
    </w:p>
    <w:p w:rsidR="00000000" w:rsidDel="00000000" w:rsidP="00000000" w:rsidRDefault="00000000" w:rsidRPr="00000000" w14:paraId="0000001A">
      <w:pPr>
        <w:spacing w:after="0" w:line="252.00000000000003" w:lineRule="auto"/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EmergiPress CE Instruction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780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140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140F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14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14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140F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0E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Relationship Id="rId7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WvsRA/1Bw1YjZaClm4gVJy7sw==">AMUW2mWveLATN9dTy43THjLVvC0NkrxBLNsEVreJ6BzEdXXm7lN6pEElF3JVO+7ADQyl+UhT3Ia5/xPYLUDqTQDpuB+kv34DsIARTzNdjK/bgUOPQyjfKEY=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2020-11-10T20:53:00Z</dcterms:created>
  <dc:creator>Denise Whitfield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Instruction 032022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4/4/2022 12:00:00 AM</vt:lpwstr>
  </property>
  <property pid="10" fmtid="{D5CDD505-2E9C-101B-9397-08002B2CF9AE}" name="sds_doc_id">
    <vt:lpwstr>1122184</vt:lpwstr>
  </property>
  <property pid="11" fmtid="{D5CDD505-2E9C-101B-9397-08002B2CF9AE}" name="sds_customer_org_name">
    <vt:lpwstr/>
  </property>
  <property pid="12" fmtid="{D5CDD505-2E9C-101B-9397-08002B2CF9AE}" name="object_name">
    <vt:lpwstr>1122184_EmergiPressCE_InstructionSheetMarch2022.docx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